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4FCB0" w14:textId="47CE78CE" w:rsidR="006C58CF" w:rsidRPr="006C58CF" w:rsidRDefault="006C58CF" w:rsidP="006C58CF">
      <w:pPr>
        <w:pStyle w:val="BasicParagraph"/>
        <w:suppressAutoHyphens/>
        <w:spacing w:after="180" w:line="240" w:lineRule="auto"/>
        <w:rPr>
          <w:rFonts w:ascii="Arial" w:hAnsi="Arial" w:cs="Arial"/>
          <w:b/>
          <w:color w:val="15595B"/>
          <w:sz w:val="20"/>
          <w:szCs w:val="20"/>
        </w:rPr>
      </w:pPr>
      <w:bookmarkStart w:id="0" w:name="_GoBack"/>
      <w:r w:rsidRPr="006C58CF">
        <w:rPr>
          <w:rFonts w:ascii="Arial" w:hAnsi="Arial" w:cs="Arial"/>
          <w:b/>
          <w:bCs/>
          <w:color w:val="15595B"/>
          <w:sz w:val="28"/>
          <w:szCs w:val="28"/>
        </w:rPr>
        <w:t xml:space="preserve">Monitoring and Mitigation of Herbicide Resistance: </w:t>
      </w:r>
      <w:r w:rsidRPr="006C58CF">
        <w:rPr>
          <w:rFonts w:ascii="Arial" w:hAnsi="Arial" w:cs="Arial"/>
          <w:b/>
          <w:bCs/>
          <w:color w:val="15595B"/>
          <w:sz w:val="28"/>
          <w:szCs w:val="28"/>
        </w:rPr>
        <w:br/>
      </w:r>
      <w:bookmarkEnd w:id="0"/>
      <w:r w:rsidRPr="006C58CF">
        <w:rPr>
          <w:rFonts w:ascii="Arial" w:hAnsi="Arial" w:cs="Arial"/>
          <w:b/>
          <w:bCs/>
          <w:color w:val="15595B"/>
          <w:sz w:val="28"/>
          <w:szCs w:val="28"/>
        </w:rPr>
        <w:t>Global Herbicide Resistance Committee (HRAC) Perspectives</w:t>
      </w:r>
    </w:p>
    <w:p w14:paraId="59CEB84A" w14:textId="77777777" w:rsidR="006C58CF" w:rsidRPr="00D6529B" w:rsidRDefault="006C58CF" w:rsidP="006C58CF">
      <w:pPr>
        <w:widowControl w:val="0"/>
        <w:autoSpaceDE w:val="0"/>
        <w:autoSpaceDN w:val="0"/>
        <w:adjustRightInd w:val="0"/>
        <w:spacing w:after="270" w:line="288" w:lineRule="auto"/>
        <w:textAlignment w:val="center"/>
        <w:rPr>
          <w:rFonts w:ascii="ArialMT" w:hAnsi="ArialMT" w:cs="ArialMT"/>
          <w:color w:val="595959" w:themeColor="text1" w:themeTint="A6"/>
          <w:sz w:val="22"/>
          <w:szCs w:val="22"/>
          <w:lang w:val="en-US"/>
        </w:rPr>
      </w:pPr>
      <w:r w:rsidRPr="00D6529B">
        <w:rPr>
          <w:rFonts w:ascii="Arial-BoldMT" w:hAnsi="Arial-BoldMT" w:cs="Arial-BoldMT"/>
          <w:b/>
          <w:bCs/>
          <w:color w:val="595959" w:themeColor="text1" w:themeTint="A6"/>
          <w:sz w:val="22"/>
          <w:szCs w:val="22"/>
          <w:lang w:val="en-US"/>
        </w:rPr>
        <w:t>John K. Soteres</w:t>
      </w:r>
      <w:r w:rsidRPr="00D6529B">
        <w:rPr>
          <w:rFonts w:ascii="ArialMT" w:hAnsi="ArialMT" w:cs="ArialMT"/>
          <w:color w:val="595959" w:themeColor="text1" w:themeTint="A6"/>
          <w:sz w:val="22"/>
          <w:szCs w:val="22"/>
          <w:lang w:val="en-US"/>
        </w:rPr>
        <w:t xml:space="preserve"> (independent consultant) and </w:t>
      </w:r>
      <w:r w:rsidRPr="00D6529B">
        <w:rPr>
          <w:rFonts w:ascii="Arial-BoldMT" w:hAnsi="Arial-BoldMT" w:cs="Arial-BoldMT"/>
          <w:b/>
          <w:bCs/>
          <w:color w:val="595959" w:themeColor="text1" w:themeTint="A6"/>
          <w:sz w:val="22"/>
          <w:szCs w:val="22"/>
          <w:lang w:val="en-US"/>
        </w:rPr>
        <w:t xml:space="preserve">Mark Peterson </w:t>
      </w:r>
      <w:r w:rsidRPr="00D6529B">
        <w:rPr>
          <w:rFonts w:ascii="ArialMT" w:hAnsi="ArialMT" w:cs="ArialMT"/>
          <w:color w:val="595959" w:themeColor="text1" w:themeTint="A6"/>
          <w:sz w:val="22"/>
          <w:szCs w:val="22"/>
          <w:lang w:val="en-US"/>
        </w:rPr>
        <w:t>(Dow AgroSciences)</w:t>
      </w:r>
    </w:p>
    <w:p w14:paraId="6A80CC3E" w14:textId="14DA0860" w:rsidR="006C58CF" w:rsidRPr="00D6529B" w:rsidRDefault="006C58CF" w:rsidP="006C58CF">
      <w:pPr>
        <w:widowControl w:val="0"/>
        <w:autoSpaceDE w:val="0"/>
        <w:autoSpaceDN w:val="0"/>
        <w:adjustRightInd w:val="0"/>
        <w:spacing w:line="288" w:lineRule="auto"/>
        <w:textAlignment w:val="center"/>
        <w:rPr>
          <w:rFonts w:ascii="ArialMT" w:hAnsi="ArialMT" w:cs="ArialMT"/>
          <w:color w:val="595959" w:themeColor="text1" w:themeTint="A6"/>
          <w:sz w:val="16"/>
          <w:szCs w:val="16"/>
          <w:lang w:val="en-US"/>
        </w:rPr>
      </w:pPr>
      <w:r w:rsidRPr="00D6529B">
        <w:rPr>
          <w:rFonts w:ascii="Arial-BoldMT" w:hAnsi="Arial-BoldMT" w:cs="Arial-BoldMT"/>
          <w:b/>
          <w:bCs/>
          <w:color w:val="595959" w:themeColor="text1" w:themeTint="A6"/>
          <w:sz w:val="16"/>
          <w:szCs w:val="16"/>
          <w:lang w:val="en-US"/>
        </w:rPr>
        <w:t>Contributors:</w:t>
      </w:r>
      <w:r w:rsidRPr="00D6529B">
        <w:rPr>
          <w:rFonts w:ascii="ArialMT" w:hAnsi="ArialMT" w:cs="ArialMT"/>
          <w:color w:val="595959" w:themeColor="text1" w:themeTint="A6"/>
          <w:sz w:val="16"/>
          <w:szCs w:val="16"/>
          <w:lang w:val="en-US"/>
        </w:rPr>
        <w:t xml:space="preserve"> C. Ball (Syngenta), R. Beffa (Bayer Crop Sciences), A. Cotie (Bayer Crop Sciences), R. Evans (BASF Corporation), L. Glasgow (Syngenta), G. Goupil (Syngenta), M. Horak (Monsanto Company), R. Masters (Dow AgroSciences), T. Obrigawitch (DuPont), D. Refsell (Valent), S. Sharma (FMC), H. Strek (Bayer Crop Sciences)</w:t>
      </w:r>
    </w:p>
    <w:p w14:paraId="5C87E2B7" w14:textId="77777777" w:rsidR="006C58CF" w:rsidRPr="006C58CF" w:rsidRDefault="006C58CF" w:rsidP="00EC4BD5">
      <w:pPr>
        <w:pStyle w:val="BasicParagraph"/>
        <w:suppressAutoHyphens/>
        <w:spacing w:after="180" w:line="360" w:lineRule="auto"/>
        <w:rPr>
          <w:rFonts w:ascii="Arial" w:hAnsi="Arial" w:cs="Arial"/>
          <w:color w:val="595959" w:themeColor="text1" w:themeTint="A6"/>
          <w:sz w:val="20"/>
          <w:szCs w:val="20"/>
        </w:rPr>
      </w:pPr>
    </w:p>
    <w:p w14:paraId="55B921BD" w14:textId="77777777" w:rsidR="006C58CF" w:rsidRDefault="006C58CF" w:rsidP="006C58CF">
      <w:pPr>
        <w:widowControl w:val="0"/>
        <w:autoSpaceDE w:val="0"/>
        <w:autoSpaceDN w:val="0"/>
        <w:adjustRightInd w:val="0"/>
        <w:spacing w:after="90" w:line="288" w:lineRule="auto"/>
        <w:textAlignment w:val="center"/>
        <w:rPr>
          <w:rFonts w:ascii="Arial-BoldMT" w:hAnsi="Arial-BoldMT" w:cs="Arial-BoldMT"/>
          <w:b/>
          <w:bCs/>
          <w:color w:val="003A26"/>
          <w:sz w:val="22"/>
          <w:szCs w:val="22"/>
          <w:lang w:val="en-US"/>
        </w:rPr>
        <w:sectPr w:rsidR="006C58CF" w:rsidSect="00E57D9F">
          <w:headerReference w:type="default" r:id="rId9"/>
          <w:footerReference w:type="even" r:id="rId10"/>
          <w:footerReference w:type="default" r:id="rId11"/>
          <w:pgSz w:w="12240" w:h="15840"/>
          <w:pgMar w:top="1728" w:right="1440" w:bottom="1008" w:left="1440" w:header="0" w:footer="0" w:gutter="0"/>
          <w:cols w:space="720"/>
          <w:docGrid w:linePitch="360"/>
        </w:sectPr>
      </w:pPr>
    </w:p>
    <w:p w14:paraId="00D9D9EB" w14:textId="46E4E1D9" w:rsidR="006C58CF" w:rsidRPr="006C58CF" w:rsidRDefault="006C58CF" w:rsidP="006C58CF">
      <w:pPr>
        <w:widowControl w:val="0"/>
        <w:autoSpaceDE w:val="0"/>
        <w:autoSpaceDN w:val="0"/>
        <w:adjustRightInd w:val="0"/>
        <w:spacing w:after="90" w:line="288" w:lineRule="auto"/>
        <w:textAlignment w:val="center"/>
        <w:rPr>
          <w:rFonts w:ascii="ArialMT" w:hAnsi="ArialMT" w:cs="ArialMT"/>
          <w:color w:val="15595B"/>
          <w:sz w:val="18"/>
          <w:szCs w:val="18"/>
          <w:lang w:val="en-US"/>
        </w:rPr>
      </w:pPr>
      <w:r w:rsidRPr="006C58CF">
        <w:rPr>
          <w:rFonts w:ascii="Arial-BoldMT" w:hAnsi="Arial-BoldMT" w:cs="Arial-BoldMT"/>
          <w:b/>
          <w:bCs/>
          <w:color w:val="15595B"/>
          <w:sz w:val="22"/>
          <w:szCs w:val="22"/>
          <w:lang w:val="en-US"/>
        </w:rPr>
        <w:lastRenderedPageBreak/>
        <w:t>Table of Contents</w:t>
      </w:r>
    </w:p>
    <w:p w14:paraId="4089B834" w14:textId="45F17F74" w:rsidR="006C58CF" w:rsidRPr="006C58CF" w:rsidRDefault="006C58CF" w:rsidP="00E57D9F">
      <w:pPr>
        <w:pStyle w:val="HRACBodyCopy"/>
        <w:numPr>
          <w:ilvl w:val="0"/>
          <w:numId w:val="9"/>
        </w:numPr>
      </w:pPr>
      <w:r w:rsidRPr="006C58CF">
        <w:t>Executive Summary</w:t>
      </w:r>
    </w:p>
    <w:p w14:paraId="7E6C86B1" w14:textId="44672959" w:rsidR="006C58CF" w:rsidRPr="006C58CF" w:rsidRDefault="006C58CF" w:rsidP="00E57D9F">
      <w:pPr>
        <w:pStyle w:val="HRACBodyCopy"/>
        <w:numPr>
          <w:ilvl w:val="0"/>
          <w:numId w:val="9"/>
        </w:numPr>
      </w:pPr>
      <w:r w:rsidRPr="006C58CF">
        <w:t>Introduction</w:t>
      </w:r>
    </w:p>
    <w:p w14:paraId="24783DDF" w14:textId="44AA1060" w:rsidR="006C58CF" w:rsidRPr="006C58CF" w:rsidRDefault="006C58CF" w:rsidP="00E57D9F">
      <w:pPr>
        <w:pStyle w:val="HRACBodyCopy"/>
        <w:numPr>
          <w:ilvl w:val="0"/>
          <w:numId w:val="9"/>
        </w:numPr>
      </w:pPr>
      <w:r w:rsidRPr="006C58CF">
        <w:t>Herbicide Resistance Monitoring</w:t>
      </w:r>
    </w:p>
    <w:p w14:paraId="33EA5A5F" w14:textId="4B4312EF" w:rsidR="006C58CF" w:rsidRPr="006C58CF" w:rsidRDefault="006C58CF" w:rsidP="00E57D9F">
      <w:pPr>
        <w:pStyle w:val="HRACBodyCopy"/>
        <w:numPr>
          <w:ilvl w:val="0"/>
          <w:numId w:val="9"/>
        </w:numPr>
      </w:pPr>
      <w:r w:rsidRPr="006C58CF">
        <w:t>Compariso</w:t>
      </w:r>
      <w:r w:rsidR="00FD0E14">
        <w:t xml:space="preserve">n to Insecticide and Fungicide </w:t>
      </w:r>
      <w:r w:rsidRPr="006C58CF">
        <w:t>Resistance Monitoring</w:t>
      </w:r>
    </w:p>
    <w:p w14:paraId="4099B77E" w14:textId="673A2F6B" w:rsidR="006C58CF" w:rsidRPr="006C58CF" w:rsidRDefault="006C58CF" w:rsidP="00E57D9F">
      <w:pPr>
        <w:pStyle w:val="HRACBodyCopy"/>
        <w:numPr>
          <w:ilvl w:val="0"/>
          <w:numId w:val="9"/>
        </w:numPr>
      </w:pPr>
      <w:r w:rsidRPr="006C58CF">
        <w:t>Mitigation of Herbicide Resistance</w:t>
      </w:r>
    </w:p>
    <w:p w14:paraId="64213377" w14:textId="3E39F87C" w:rsidR="006C58CF" w:rsidRPr="006C58CF" w:rsidRDefault="006C58CF" w:rsidP="00E57D9F">
      <w:pPr>
        <w:pStyle w:val="HRACBodyCopy"/>
        <w:numPr>
          <w:ilvl w:val="0"/>
          <w:numId w:val="9"/>
        </w:numPr>
      </w:pPr>
      <w:r w:rsidRPr="006C58CF">
        <w:t>Conclusions</w:t>
      </w:r>
    </w:p>
    <w:p w14:paraId="68C03C23" w14:textId="50FE7401" w:rsidR="006C58CF" w:rsidRDefault="006C58CF" w:rsidP="00E57D9F">
      <w:pPr>
        <w:pStyle w:val="HRACBodyCopy"/>
        <w:numPr>
          <w:ilvl w:val="0"/>
          <w:numId w:val="9"/>
        </w:numPr>
      </w:pPr>
      <w:r w:rsidRPr="006C58CF">
        <w:t>Literature Cited</w:t>
      </w:r>
    </w:p>
    <w:p w14:paraId="73831267" w14:textId="74515943" w:rsidR="00E57D9F" w:rsidRDefault="00E57D9F" w:rsidP="00E57D9F">
      <w:pPr>
        <w:pStyle w:val="HRACBodyCopy"/>
      </w:pPr>
      <w:r>
        <w:rPr>
          <w:noProof/>
        </w:rPr>
        <mc:AlternateContent>
          <mc:Choice Requires="wps">
            <w:drawing>
              <wp:anchor distT="0" distB="0" distL="114300" distR="114300" simplePos="0" relativeHeight="251660288" behindDoc="0" locked="0" layoutInCell="1" allowOverlap="1" wp14:anchorId="6FDA5919" wp14:editId="17023178">
                <wp:simplePos x="0" y="0"/>
                <wp:positionH relativeFrom="column">
                  <wp:posOffset>-10160</wp:posOffset>
                </wp:positionH>
                <wp:positionV relativeFrom="paragraph">
                  <wp:posOffset>219710</wp:posOffset>
                </wp:positionV>
                <wp:extent cx="2783840" cy="0"/>
                <wp:effectExtent l="0" t="0" r="35560" b="25400"/>
                <wp:wrapNone/>
                <wp:docPr id="6" name="Straight Connector 6"/>
                <wp:cNvGraphicFramePr/>
                <a:graphic xmlns:a="http://schemas.openxmlformats.org/drawingml/2006/main">
                  <a:graphicData uri="http://schemas.microsoft.com/office/word/2010/wordprocessingShape">
                    <wps:wsp>
                      <wps:cNvCnPr/>
                      <wps:spPr>
                        <a:xfrm>
                          <a:off x="0" y="0"/>
                          <a:ext cx="2783840" cy="0"/>
                        </a:xfrm>
                        <a:prstGeom prst="line">
                          <a:avLst/>
                        </a:prstGeom>
                        <a:ln>
                          <a:solidFill>
                            <a:srgbClr val="9BB73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7.3pt" to="218.45pt,1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" strokecolor="#9bb73d" strokeweight="2pt"/>
            </w:pict>
          </mc:Fallback>
        </mc:AlternateContent>
      </w:r>
    </w:p>
    <w:p w14:paraId="0665EC23" w14:textId="77777777" w:rsidR="00E57D9F" w:rsidRPr="006C58CF" w:rsidRDefault="00E57D9F" w:rsidP="00E57D9F">
      <w:pPr>
        <w:pStyle w:val="HRACBodyCopy"/>
      </w:pPr>
    </w:p>
    <w:p w14:paraId="31CFF7BD" w14:textId="77777777" w:rsidR="006C58CF" w:rsidRPr="006C58CF" w:rsidRDefault="006C58CF" w:rsidP="006C58CF">
      <w:pPr>
        <w:widowControl w:val="0"/>
        <w:autoSpaceDE w:val="0"/>
        <w:autoSpaceDN w:val="0"/>
        <w:adjustRightInd w:val="0"/>
        <w:spacing w:after="90" w:line="288" w:lineRule="auto"/>
        <w:textAlignment w:val="center"/>
        <w:rPr>
          <w:rFonts w:ascii="Arial-BoldMT" w:hAnsi="Arial-BoldMT" w:cs="Arial-BoldMT"/>
          <w:b/>
          <w:bCs/>
          <w:color w:val="15595B"/>
          <w:sz w:val="22"/>
          <w:szCs w:val="22"/>
          <w:lang w:val="en-US"/>
        </w:rPr>
      </w:pPr>
      <w:r w:rsidRPr="006C58CF">
        <w:rPr>
          <w:rFonts w:ascii="Arial-BoldMT" w:hAnsi="Arial-BoldMT" w:cs="Arial-BoldMT"/>
          <w:b/>
          <w:bCs/>
          <w:color w:val="15595B"/>
          <w:sz w:val="22"/>
          <w:szCs w:val="22"/>
          <w:lang w:val="en-US"/>
        </w:rPr>
        <w:t>I. Executive Summary</w:t>
      </w:r>
    </w:p>
    <w:p w14:paraId="125FCC27" w14:textId="77777777" w:rsidR="006C58CF" w:rsidRPr="00FD0E14" w:rsidRDefault="006C58CF" w:rsidP="00FD0E14">
      <w:pPr>
        <w:pStyle w:val="HRACBodyCopy"/>
      </w:pPr>
      <w:r w:rsidRPr="00FD0E14">
        <w:t>Managing the risk of herbicide resistance (HR) is an area of strategic importance for leading herbicide technology providers and is the focus of the Global Herbicide Resistance Action Committee (HRAC), an organization comprised of 8 major companies working as a part of Crop Life International. Early detection of HR, understanding the scope of HR in a defined area, and potential mitigation of resistance through efforts to limit its spread are important aspects of managing the risk of HR. Monitoring for HR populations has been employed by public and private weed scientists for both early detection and defining the scope of resistance. The primary methods used to monitor for resistance include:</w:t>
      </w:r>
    </w:p>
    <w:p w14:paraId="0027BA61" w14:textId="180B682B" w:rsidR="006C58CF" w:rsidRPr="00FD0E14" w:rsidRDefault="00E57D9F" w:rsidP="00E57D9F">
      <w:pPr>
        <w:pStyle w:val="HRACList"/>
      </w:pPr>
      <w:r>
        <w:t xml:space="preserve"> </w:t>
      </w:r>
      <w:r w:rsidR="006C58CF" w:rsidRPr="00FD0E14">
        <w:t>field surveys where seed from putative resistant plants are collected and tested in a controlled environment using bioassay procedures,</w:t>
      </w:r>
    </w:p>
    <w:p w14:paraId="4A21CB4B" w14:textId="57A1F9DE" w:rsidR="006C58CF" w:rsidRPr="00FD0E14" w:rsidRDefault="00E57D9F" w:rsidP="00E57D9F">
      <w:pPr>
        <w:pStyle w:val="HRACList"/>
      </w:pPr>
      <w:r>
        <w:t xml:space="preserve"> </w:t>
      </w:r>
      <w:r w:rsidR="006C58CF" w:rsidRPr="00FD0E14">
        <w:t>market resea</w:t>
      </w:r>
      <w:r>
        <w:t xml:space="preserve">rch surveys of farmers and weed </w:t>
      </w:r>
      <w:r w:rsidR="006C58CF" w:rsidRPr="00FD0E14">
        <w:t xml:space="preserve">management experts, and </w:t>
      </w:r>
    </w:p>
    <w:p w14:paraId="60E48C8C" w14:textId="2C56D43B" w:rsidR="006C58CF" w:rsidRPr="00FD0E14" w:rsidRDefault="00E57D9F" w:rsidP="00E57D9F">
      <w:pPr>
        <w:pStyle w:val="HRACList"/>
      </w:pPr>
      <w:r>
        <w:t xml:space="preserve"> </w:t>
      </w:r>
      <w:r w:rsidR="006C58CF" w:rsidRPr="00FD0E14">
        <w:t>tracking farmer performance inquiries with appropriate follow up field evaluation and testing.</w:t>
      </w:r>
    </w:p>
    <w:p w14:paraId="399A6718" w14:textId="3AF0C1C8" w:rsidR="006C58CF" w:rsidRPr="00FD0E14" w:rsidRDefault="006C58CF" w:rsidP="00FD0E14">
      <w:pPr>
        <w:pStyle w:val="HRACBodyCopy"/>
        <w:rPr>
          <w:rFonts w:ascii="ArialMT" w:hAnsi="ArialMT" w:cs="ArialMT"/>
          <w:szCs w:val="18"/>
        </w:rPr>
      </w:pPr>
      <w:r w:rsidRPr="00FD0E14">
        <w:rPr>
          <w:rFonts w:ascii="ArialMT" w:hAnsi="ArialMT" w:cs="ArialMT"/>
          <w:szCs w:val="18"/>
        </w:rPr>
        <w:t xml:space="preserve">The most common monitoring method is the use of field surveys designed to either qualitatively (i.e., </w:t>
      </w:r>
      <w:r w:rsidRPr="00FD0E14">
        <w:rPr>
          <w:rFonts w:ascii="ArialMT" w:hAnsi="ArialMT" w:cs="ArialMT"/>
          <w:szCs w:val="18"/>
        </w:rPr>
        <w:lastRenderedPageBreak/>
        <w:t xml:space="preserve">determine whether the level of resistance is high, medium, or low) or quantitatively (i.e., determine the area infested with HR populations) </w:t>
      </w:r>
      <w:r w:rsidRPr="00FD0E14">
        <w:rPr>
          <w:rFonts w:ascii="ArialMT" w:hAnsi="ArialMT" w:cs="ArialMT"/>
          <w:spacing w:val="-2"/>
          <w:szCs w:val="18"/>
        </w:rPr>
        <w:t>define existing HR. The primary method to detect resistance in new species and in new geographies is to track farmer performance inquiries</w:t>
      </w:r>
      <w:r w:rsidRPr="00FD0E14">
        <w:rPr>
          <w:rFonts w:ascii="ArialMT" w:hAnsi="ArialMT" w:cs="ArialMT"/>
          <w:szCs w:val="18"/>
        </w:rPr>
        <w:t>.</w:t>
      </w:r>
    </w:p>
    <w:p w14:paraId="7371CAE1" w14:textId="77777777" w:rsidR="006C58CF" w:rsidRPr="00FD0E14" w:rsidRDefault="006C58CF" w:rsidP="00FD0E14">
      <w:pPr>
        <w:pStyle w:val="HRACBodyCopy"/>
        <w:rPr>
          <w:rFonts w:ascii="ArialMT" w:hAnsi="ArialMT" w:cs="ArialMT"/>
          <w:szCs w:val="18"/>
        </w:rPr>
      </w:pPr>
      <w:r w:rsidRPr="00FD0E14">
        <w:rPr>
          <w:rFonts w:ascii="ArialMT" w:hAnsi="ArialMT" w:cs="ArialMT"/>
          <w:szCs w:val="18"/>
        </w:rPr>
        <w:t>Once resistance is detected, steps may be taken to mitigate its impact. A critical aspect to mitigation is the implementation of best management practices (BMPs) which is facilitated by effective education and training programs. Education efforts can be enhanced with information obtained from monitoring studies and early detection of resistant populations using appropriate monitoring methods can improve the outcome of mitigation efforts.</w:t>
      </w:r>
    </w:p>
    <w:p w14:paraId="6F8110DF" w14:textId="72AA59C3" w:rsidR="006C58CF" w:rsidRPr="00FD0E14" w:rsidRDefault="00E57D9F" w:rsidP="00E57D9F">
      <w:pPr>
        <w:pStyle w:val="HRACList"/>
      </w:pPr>
      <w:r>
        <w:t xml:space="preserve"> </w:t>
      </w:r>
      <w:r w:rsidR="006C58CF" w:rsidRPr="00FD0E14">
        <w:t>The following is a summary of HRAC’s perspective on monitoring and mitigation goals and methods.</w:t>
      </w:r>
    </w:p>
    <w:p w14:paraId="45713405" w14:textId="0C428581" w:rsidR="006C58CF" w:rsidRPr="00FD0E14" w:rsidRDefault="00E57D9F" w:rsidP="00E57D9F">
      <w:pPr>
        <w:pStyle w:val="HRACList"/>
      </w:pPr>
      <w:r>
        <w:t xml:space="preserve"> </w:t>
      </w:r>
      <w:r w:rsidR="006C58CF" w:rsidRPr="00FD0E14">
        <w:t>Monitoring HR using qualitative approaches, such as surveys, is useful to understand and enhance awareness of the scope of the problem and improve adoption of HR best management practices (BMPs).</w:t>
      </w:r>
    </w:p>
    <w:p w14:paraId="22E58B25" w14:textId="6F085C7C" w:rsidR="006C58CF" w:rsidRPr="00FD0E14" w:rsidRDefault="00E57D9F" w:rsidP="00E57D9F">
      <w:pPr>
        <w:pStyle w:val="HRACList"/>
      </w:pPr>
      <w:r>
        <w:t xml:space="preserve"> </w:t>
      </w:r>
      <w:r w:rsidR="006C58CF" w:rsidRPr="00FD0E14">
        <w:t>Monitoring HR for quantitative purposes is not a cost effective use of limited resources in most cases, nor is it necessary to meet the main goal of encouraging greater farmer adoption of BMPs.</w:t>
      </w:r>
    </w:p>
    <w:p w14:paraId="3334C411" w14:textId="2ED0EAD9" w:rsidR="006C58CF" w:rsidRDefault="00E57D9F" w:rsidP="00E57D9F">
      <w:pPr>
        <w:pStyle w:val="HRACList"/>
      </w:pPr>
      <w:r>
        <w:t xml:space="preserve"> </w:t>
      </w:r>
      <w:r w:rsidR="006C58CF" w:rsidRPr="00FD0E14">
        <w:t>Routine periodic monitoring of known resistant weeds is of limited value and is not a cost effective use of limited resources. Monitoring studies should be justified and resourced on a case by case basis to address specific needs.</w:t>
      </w:r>
    </w:p>
    <w:p w14:paraId="66492E57" w14:textId="3C56158C" w:rsidR="00E57D9F" w:rsidRPr="00E57D9F" w:rsidRDefault="00E57D9F" w:rsidP="00E57D9F">
      <w:pPr>
        <w:pStyle w:val="HRACList"/>
      </w:pPr>
      <w:r>
        <w:t xml:space="preserve"> </w:t>
      </w:r>
      <w:r w:rsidRPr="00E57D9F">
        <w:t>Proactive HR fiel</w:t>
      </w:r>
      <w:r>
        <w:t>d surveys (either directed at</w:t>
      </w:r>
      <w:r>
        <w:br/>
      </w:r>
      <w:r w:rsidRPr="00E57D9F">
        <w:t>discovery of r</w:t>
      </w:r>
      <w:r>
        <w:t>esistance in a new species or</w:t>
      </w:r>
      <w:r>
        <w:br/>
      </w:r>
      <w:r w:rsidRPr="00E57D9F">
        <w:t>for known resistan</w:t>
      </w:r>
      <w:r w:rsidR="00855540">
        <w:t>t species in a new geography)</w:t>
      </w:r>
      <w:r w:rsidRPr="00E57D9F">
        <w:t>are resource intensi</w:t>
      </w:r>
      <w:r w:rsidR="00855540">
        <w:t>ve and have a low probability</w:t>
      </w:r>
      <w:r w:rsidRPr="00E57D9F">
        <w:t>of success.</w:t>
      </w:r>
    </w:p>
    <w:p w14:paraId="2083B219" w14:textId="7A9B889D" w:rsidR="00E57D9F" w:rsidRPr="00E57D9F" w:rsidRDefault="00E57D9F" w:rsidP="00E57D9F">
      <w:pPr>
        <w:pStyle w:val="HRACList"/>
      </w:pPr>
      <w:r>
        <w:t xml:space="preserve"> </w:t>
      </w:r>
      <w:r w:rsidRPr="00E57D9F">
        <w:t>Monitoring herbic</w:t>
      </w:r>
      <w:r>
        <w:t>ide performance inquiries for</w:t>
      </w:r>
      <w:r>
        <w:br/>
      </w:r>
      <w:r w:rsidRPr="00E57D9F">
        <w:t>possible cases</w:t>
      </w:r>
      <w:r>
        <w:t xml:space="preserve"> of resistant weeds can be an</w:t>
      </w:r>
      <w:r>
        <w:br/>
      </w:r>
      <w:r w:rsidRPr="00E57D9F">
        <w:t>effective means to</w:t>
      </w:r>
      <w:r>
        <w:t xml:space="preserve"> facilitate the detection of</w:t>
      </w:r>
      <w:r>
        <w:br/>
      </w:r>
      <w:r w:rsidRPr="00E57D9F">
        <w:t>resistance. However,</w:t>
      </w:r>
      <w:r>
        <w:t xml:space="preserve"> this method is subjective </w:t>
      </w:r>
      <w:r>
        <w:lastRenderedPageBreak/>
        <w:t xml:space="preserve">in </w:t>
      </w:r>
      <w:r w:rsidRPr="00E57D9F">
        <w:t>nature and may initially overestimate resistance.</w:t>
      </w:r>
    </w:p>
    <w:p w14:paraId="77543189" w14:textId="0313402A" w:rsidR="00E57D9F" w:rsidRPr="00E57D9F" w:rsidRDefault="00D6529B" w:rsidP="00E57D9F">
      <w:pPr>
        <w:pStyle w:val="HRACList"/>
      </w:pPr>
      <w:r>
        <w:rPr>
          <w:noProof/>
        </w:rPr>
        <w:drawing>
          <wp:anchor distT="0" distB="0" distL="114300" distR="114300" simplePos="0" relativeHeight="251657215" behindDoc="1" locked="0" layoutInCell="1" allowOverlap="1" wp14:anchorId="6F1CF8F5" wp14:editId="092CDEC7">
            <wp:simplePos x="0" y="0"/>
            <wp:positionH relativeFrom="column">
              <wp:posOffset>-904240</wp:posOffset>
            </wp:positionH>
            <wp:positionV relativeFrom="paragraph">
              <wp:posOffset>-1440180</wp:posOffset>
            </wp:positionV>
            <wp:extent cx="7772400" cy="1005914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aper_footer_swoosh.jpg"/>
                    <pic:cNvPicPr/>
                  </pic:nvPicPr>
                  <pic:blipFill>
                    <a:blip r:embed="rId12">
                      <a:extLst>
                        <a:ext uri="{28A0092B-C50C-407E-A947-70E740481C1C}">
                          <a14:useLocalDpi xmlns:a14="http://schemas.microsoft.com/office/drawing/2010/main" val="0"/>
                        </a:ext>
                      </a:extLst>
                    </a:blip>
                    <a:stretch>
                      <a:fillRect/>
                    </a:stretch>
                  </pic:blipFill>
                  <pic:spPr>
                    <a:xfrm>
                      <a:off x="0" y="0"/>
                      <a:ext cx="7772400" cy="10059141"/>
                    </a:xfrm>
                    <a:prstGeom prst="rect">
                      <a:avLst/>
                    </a:prstGeom>
                  </pic:spPr>
                </pic:pic>
              </a:graphicData>
            </a:graphic>
            <wp14:sizeRelH relativeFrom="page">
              <wp14:pctWidth>0</wp14:pctWidth>
            </wp14:sizeRelH>
            <wp14:sizeRelV relativeFrom="page">
              <wp14:pctHeight>0</wp14:pctHeight>
            </wp14:sizeRelV>
          </wp:anchor>
        </w:drawing>
      </w:r>
      <w:r w:rsidR="00E57D9F">
        <w:t xml:space="preserve"> </w:t>
      </w:r>
      <w:r w:rsidR="00E57D9F" w:rsidRPr="00E57D9F">
        <w:t xml:space="preserve">Better procedures </w:t>
      </w:r>
      <w:r w:rsidR="00E57D9F">
        <w:t xml:space="preserve">need to be developed in order </w:t>
      </w:r>
      <w:r w:rsidR="00E57D9F" w:rsidRPr="00E57D9F">
        <w:t xml:space="preserve">to facilitate </w:t>
      </w:r>
      <w:r w:rsidR="00E57D9F">
        <w:t xml:space="preserve">earlier communication between </w:t>
      </w:r>
      <w:r w:rsidR="00E57D9F" w:rsidRPr="00E57D9F">
        <w:t>herbicide provide</w:t>
      </w:r>
      <w:r w:rsidR="00E57D9F">
        <w:t xml:space="preserve">rs, academics, consultants, and </w:t>
      </w:r>
      <w:r w:rsidR="00E57D9F" w:rsidRPr="00E57D9F">
        <w:t xml:space="preserve">farmers regarding </w:t>
      </w:r>
      <w:r w:rsidR="00E57D9F">
        <w:t xml:space="preserve">cases of resistance. However, </w:t>
      </w:r>
      <w:r w:rsidR="00E57D9F" w:rsidRPr="00E57D9F">
        <w:t>this must be balanced with the need for accuracy.</w:t>
      </w:r>
    </w:p>
    <w:p w14:paraId="70EDC3E1" w14:textId="2BBD779B" w:rsidR="00E57D9F" w:rsidRDefault="00E57D9F" w:rsidP="00E57D9F">
      <w:pPr>
        <w:pStyle w:val="HRACList"/>
      </w:pPr>
      <w:r>
        <w:t xml:space="preserve"> </w:t>
      </w:r>
      <w:r w:rsidRPr="00E57D9F">
        <w:t>The primary goal</w:t>
      </w:r>
      <w:r>
        <w:t xml:space="preserve"> of mitigation programs is to</w:t>
      </w:r>
      <w:r>
        <w:br/>
      </w:r>
      <w:r w:rsidRPr="00E57D9F">
        <w:t>contain or</w:t>
      </w:r>
      <w:r>
        <w:t xml:space="preserve"> slow the spread of resistant </w:t>
      </w:r>
      <w:r w:rsidRPr="00E57D9F">
        <w:t xml:space="preserve">populations. Only in </w:t>
      </w:r>
      <w:r>
        <w:t xml:space="preserve">rare cases, can ‘eradication’ </w:t>
      </w:r>
      <w:r w:rsidRPr="00E57D9F">
        <w:t>be a goal. Effecti</w:t>
      </w:r>
      <w:r>
        <w:t xml:space="preserve">ve mitigation is accomplished </w:t>
      </w:r>
      <w:r w:rsidRPr="00E57D9F">
        <w:t xml:space="preserve">through </w:t>
      </w:r>
      <w:r>
        <w:t xml:space="preserve">enhanced farmer awareness and </w:t>
      </w:r>
      <w:r w:rsidRPr="00E57D9F">
        <w:t>implementation of resistance BMPs.</w:t>
      </w:r>
    </w:p>
    <w:p w14:paraId="2730E9C3" w14:textId="51AC8E88" w:rsidR="00E57D9F" w:rsidRDefault="00E57D9F" w:rsidP="00E57D9F">
      <w:pPr>
        <w:pStyle w:val="HRACList"/>
      </w:pPr>
      <w:r>
        <w:t xml:space="preserve"> </w:t>
      </w:r>
      <w:r w:rsidRPr="00E57D9F">
        <w:t>Cases of resistance</w:t>
      </w:r>
      <w:r>
        <w:t xml:space="preserve"> in a new species may warrant </w:t>
      </w:r>
      <w:r w:rsidRPr="00E57D9F">
        <w:t>special mitigation a</w:t>
      </w:r>
      <w:r>
        <w:t xml:space="preserve">ctions when, based on careful </w:t>
      </w:r>
      <w:r w:rsidRPr="00E57D9F">
        <w:t>evaluation, uncontained resistance would</w:t>
      </w:r>
      <w:r>
        <w:t xml:space="preserve"> </w:t>
      </w:r>
      <w:r w:rsidRPr="00E57D9F">
        <w:t>significantly and negatively impact farm</w:t>
      </w:r>
      <w:r>
        <w:t xml:space="preserve"> </w:t>
      </w:r>
      <w:r w:rsidRPr="00E57D9F">
        <w:t>production. Pro</w:t>
      </w:r>
      <w:r>
        <w:t xml:space="preserve">bability of success needs to be  </w:t>
      </w:r>
      <w:r w:rsidRPr="00E57D9F">
        <w:t>carefully evaluated prior to taking action.</w:t>
      </w:r>
      <w:r>
        <w:t xml:space="preserve"> </w:t>
      </w:r>
    </w:p>
    <w:p w14:paraId="141A6FF9" w14:textId="63E4D00B" w:rsidR="00E57D9F" w:rsidRDefault="00E57D9F" w:rsidP="00E57D9F">
      <w:pPr>
        <w:pStyle w:val="HRACList"/>
      </w:pPr>
      <w:r>
        <w:t xml:space="preserve"> </w:t>
      </w:r>
      <w:r w:rsidRPr="00E57D9F">
        <w:t>Resistance</w:t>
      </w:r>
      <w:r>
        <w:t xml:space="preserve"> monitoring processes for weeds </w:t>
      </w:r>
      <w:r w:rsidRPr="00E57D9F">
        <w:t>are fundamentally d</w:t>
      </w:r>
      <w:r>
        <w:t xml:space="preserve">ifferent from those for insects </w:t>
      </w:r>
      <w:r w:rsidRPr="00E57D9F">
        <w:t>or diseases. Meth</w:t>
      </w:r>
      <w:r>
        <w:t xml:space="preserve">ods such as baseline monitoring </w:t>
      </w:r>
      <w:r w:rsidRPr="00E57D9F">
        <w:t>that are used for these other pests are not readily</w:t>
      </w:r>
      <w:r>
        <w:t xml:space="preserve"> </w:t>
      </w:r>
      <w:r w:rsidRPr="00E57D9F">
        <w:t>transferable to weeds.</w:t>
      </w:r>
      <w:r>
        <w:t xml:space="preserve"> </w:t>
      </w:r>
    </w:p>
    <w:p w14:paraId="2925EDC4" w14:textId="5C0E31A0" w:rsidR="00E57D9F" w:rsidRPr="00E57D9F" w:rsidRDefault="00E57D9F" w:rsidP="00E57D9F">
      <w:pPr>
        <w:pStyle w:val="HRACList"/>
      </w:pPr>
      <w:r>
        <w:t xml:space="preserve"> </w:t>
      </w:r>
      <w:r w:rsidRPr="00E57D9F">
        <w:t>All parties i</w:t>
      </w:r>
      <w:r>
        <w:t xml:space="preserve">nvolved in weed management have </w:t>
      </w:r>
      <w:r w:rsidRPr="00E57D9F">
        <w:t xml:space="preserve">responsibility for </w:t>
      </w:r>
      <w:r>
        <w:t xml:space="preserve">the early detection, monitoring </w:t>
      </w:r>
      <w:r w:rsidRPr="00E57D9F">
        <w:t>and mitigation of HR. HRAC recommends that</w:t>
      </w:r>
      <w:r>
        <w:t xml:space="preserve"> </w:t>
      </w:r>
      <w:r w:rsidRPr="00E57D9F">
        <w:t>the following guidelines be used to delineate</w:t>
      </w:r>
      <w:r>
        <w:t xml:space="preserve"> </w:t>
      </w:r>
      <w:r w:rsidRPr="00E57D9F">
        <w:t>primary responsibility for various activities:</w:t>
      </w:r>
    </w:p>
    <w:p w14:paraId="2F1F5078" w14:textId="3EC6A862" w:rsidR="00E57D9F" w:rsidRPr="00D6529B" w:rsidRDefault="00E57D9F" w:rsidP="00D6529B">
      <w:pPr>
        <w:pStyle w:val="HRACList"/>
        <w:numPr>
          <w:ilvl w:val="0"/>
          <w:numId w:val="27"/>
        </w:numPr>
      </w:pPr>
      <w:r w:rsidRPr="00D6529B">
        <w:t>Individual active</w:t>
      </w:r>
      <w:r w:rsidR="00D6529B">
        <w:t xml:space="preserve"> ingredient registrants should </w:t>
      </w:r>
      <w:r w:rsidRPr="00D6529B">
        <w:t>primarily be responsible for the c</w:t>
      </w:r>
      <w:r w:rsidR="00D6529B">
        <w:t xml:space="preserve">ollection, handling, and timely </w:t>
      </w:r>
      <w:r w:rsidRPr="00D6529B">
        <w:t>communication of performance inquiries being investigated and those confirmed as resistant.</w:t>
      </w:r>
    </w:p>
    <w:p w14:paraId="5F5EE462" w14:textId="663696D5" w:rsidR="00E57D9F" w:rsidRPr="00D6529B" w:rsidRDefault="00E57D9F" w:rsidP="00D6529B">
      <w:pPr>
        <w:pStyle w:val="HRACList"/>
        <w:numPr>
          <w:ilvl w:val="0"/>
          <w:numId w:val="27"/>
        </w:numPr>
      </w:pPr>
      <w:r w:rsidRPr="00D6529B">
        <w:t xml:space="preserve">Mitigation programs should be the joint responsibility of the primary registrant for an </w:t>
      </w:r>
      <w:r w:rsidR="00D6529B">
        <w:t xml:space="preserve">active ingredient and the local extension  </w:t>
      </w:r>
      <w:r w:rsidRPr="00D6529B">
        <w:t>weed management experts. Registrant product stewardship plans can provide general gu</w:t>
      </w:r>
      <w:r w:rsidR="00D6529B">
        <w:t xml:space="preserve">idance for developing specific  </w:t>
      </w:r>
      <w:r w:rsidRPr="00D6529B">
        <w:t>mitigation plans.</w:t>
      </w:r>
    </w:p>
    <w:p w14:paraId="566C66CE" w14:textId="57456469" w:rsidR="00E57D9F" w:rsidRPr="00D6529B" w:rsidRDefault="00E57D9F" w:rsidP="00D6529B">
      <w:pPr>
        <w:pStyle w:val="HRACList"/>
        <w:numPr>
          <w:ilvl w:val="0"/>
          <w:numId w:val="27"/>
        </w:numPr>
      </w:pPr>
      <w:r w:rsidRPr="00D6529B">
        <w:t xml:space="preserve">Weed science organizations (e.g.WSSA) should ensure coordination across the network of those </w:t>
      </w:r>
      <w:r w:rsidR="00D6529B">
        <w:t xml:space="preserve">providing technical assistance </w:t>
      </w:r>
      <w:r w:rsidRPr="00D6529B">
        <w:t>to farmers.</w:t>
      </w:r>
    </w:p>
    <w:p w14:paraId="17B0D98F" w14:textId="1C29F3BA" w:rsidR="00E57D9F" w:rsidRPr="00D6529B" w:rsidRDefault="00E57D9F" w:rsidP="00D6529B">
      <w:pPr>
        <w:pStyle w:val="HRACList"/>
        <w:numPr>
          <w:ilvl w:val="0"/>
          <w:numId w:val="27"/>
        </w:numPr>
      </w:pPr>
      <w:r w:rsidRPr="00D6529B">
        <w:t>Monitoring programs that define the scope and spread of resistance should continue to be proposed and implemented by either public or private weed scientists, on a case by case basis, and resourced through normal public and private funding opportunities.</w:t>
      </w:r>
    </w:p>
    <w:p w14:paraId="76970BED" w14:textId="77777777" w:rsidR="00E57D9F" w:rsidRPr="00E57D9F" w:rsidRDefault="00E57D9F" w:rsidP="00D6529B">
      <w:pPr>
        <w:pStyle w:val="HRACSubhead"/>
      </w:pPr>
      <w:r w:rsidRPr="00E57D9F">
        <w:t xml:space="preserve">II. Introduction </w:t>
      </w:r>
    </w:p>
    <w:p w14:paraId="1BB18028" w14:textId="77777777" w:rsidR="00E57D9F" w:rsidRPr="00E57D9F" w:rsidRDefault="00E57D9F" w:rsidP="00E57D9F">
      <w:pPr>
        <w:pStyle w:val="HRACBodyCopy"/>
      </w:pPr>
      <w:r w:rsidRPr="00E57D9F">
        <w:t>Herbicides are a primary tool for the control of weeds in modern agricultural production, providing a means to achieve optimum crop yields and enabling the adoption of environmentally friendly practices such as conservation tillage. In most of the world’s major crop production areas the evolution of weed populations with resistance to one or more herbicides is a serious concern. Herbicide resistance (HR) is defined by the WSSA as the acquired ability of a weed population to survive an herbicide application that previously was known to control the population (www.WSSA.net). HR is a natural response of certain weed species to the use of herbicides and can be mitigated using recognized best management practices.</w:t>
      </w:r>
    </w:p>
    <w:p w14:paraId="038E3828" w14:textId="77777777" w:rsidR="00E57D9F" w:rsidRPr="00E57D9F" w:rsidRDefault="00E57D9F" w:rsidP="00E57D9F">
      <w:pPr>
        <w:pStyle w:val="HRACBodyCopy"/>
      </w:pPr>
      <w:r w:rsidRPr="00E57D9F">
        <w:t>Surveying fields and testing for possible herbicide resistance is an important best management practice (Norsworthy et al. 2012). In addition, the close monitoring of weed populations and early detection of HR are crucial to avert economic losses (Burgos et al. 2013). The early detection of resistance and its extent within defined geographies has been the objective of numerous resistance monitoring projects in the U.S., Canada, Australia, and Europe. Much has been learned about the design and the value of such studies. Furthermore, researchers continue to use them to evaluate the spread of resistance within the context of specific farming practices. This knowledge can help facilitate farmer resistance education and training programs.</w:t>
      </w:r>
    </w:p>
    <w:p w14:paraId="3B6D5AEA" w14:textId="77777777" w:rsidR="00E57D9F" w:rsidRDefault="00E57D9F" w:rsidP="00E57D9F">
      <w:pPr>
        <w:pStyle w:val="HRACBodyCopy"/>
      </w:pPr>
    </w:p>
    <w:p w14:paraId="7BFBA53E" w14:textId="77777777" w:rsidR="00E57D9F" w:rsidRDefault="00E57D9F" w:rsidP="00E57D9F">
      <w:pPr>
        <w:pStyle w:val="HRACBodyCopy"/>
      </w:pPr>
    </w:p>
    <w:p w14:paraId="7FFF356E" w14:textId="77777777" w:rsidR="00E57D9F" w:rsidRDefault="00E57D9F" w:rsidP="00E57D9F">
      <w:pPr>
        <w:pStyle w:val="HRACBodyCopy"/>
      </w:pPr>
    </w:p>
    <w:p w14:paraId="7CB1AB2D" w14:textId="77777777" w:rsidR="00E57D9F" w:rsidRDefault="00E57D9F" w:rsidP="00E57D9F">
      <w:pPr>
        <w:pStyle w:val="HRACBodyCopy"/>
      </w:pPr>
    </w:p>
    <w:p w14:paraId="4700E50B" w14:textId="77777777" w:rsidR="00E57D9F" w:rsidRDefault="00E57D9F" w:rsidP="00E57D9F">
      <w:pPr>
        <w:pStyle w:val="HRACBodyCopy"/>
      </w:pPr>
    </w:p>
    <w:p w14:paraId="085FAF0A" w14:textId="77777777" w:rsidR="00E57D9F" w:rsidRDefault="00E57D9F" w:rsidP="00E57D9F">
      <w:pPr>
        <w:pStyle w:val="HRACBodyCopy"/>
      </w:pPr>
    </w:p>
    <w:p w14:paraId="59CAD684" w14:textId="77777777" w:rsidR="00E57D9F" w:rsidRDefault="00E57D9F" w:rsidP="00E57D9F">
      <w:pPr>
        <w:pStyle w:val="HRACBodyCopy"/>
      </w:pPr>
    </w:p>
    <w:p w14:paraId="55947585" w14:textId="77777777" w:rsidR="00E57D9F" w:rsidRPr="00E57D9F" w:rsidRDefault="00E57D9F" w:rsidP="00E57D9F">
      <w:pPr>
        <w:pStyle w:val="HRACBodyCopy"/>
        <w:rPr>
          <w:rFonts w:ascii="MinionPro-Regular" w:hAnsi="MinionPro-Regular" w:cs="MinionPro-Regular"/>
        </w:rPr>
        <w:sectPr w:rsidR="00E57D9F" w:rsidRPr="00E57D9F" w:rsidSect="00855540">
          <w:type w:val="continuous"/>
          <w:pgSz w:w="12240" w:h="15840"/>
          <w:pgMar w:top="1728" w:right="1440" w:bottom="1440" w:left="1440" w:header="0" w:footer="0" w:gutter="0"/>
          <w:cols w:num="2" w:space="720"/>
          <w:titlePg/>
          <w:docGrid w:linePitch="360"/>
        </w:sectPr>
      </w:pPr>
    </w:p>
    <w:p w14:paraId="53AB64C8" w14:textId="6CD84860" w:rsidR="00567608" w:rsidRPr="006C58CF" w:rsidRDefault="00D6529B" w:rsidP="00E57D9F">
      <w:pPr>
        <w:pStyle w:val="BasicParagraph"/>
        <w:suppressAutoHyphens/>
        <w:spacing w:after="270" w:line="360" w:lineRule="auto"/>
        <w:rPr>
          <w:rFonts w:ascii="Arial" w:hAnsi="Arial" w:cs="Arial"/>
          <w:color w:val="595959" w:themeColor="text1" w:themeTint="A6"/>
          <w:sz w:val="20"/>
          <w:szCs w:val="20"/>
        </w:rPr>
      </w:pPr>
      <w:r>
        <w:rPr>
          <w:rFonts w:ascii="Arial" w:hAnsi="Arial" w:cs="Arial"/>
          <w:color w:val="595959" w:themeColor="text1" w:themeTint="A6"/>
          <w:sz w:val="20"/>
          <w:szCs w:val="20"/>
        </w:rPr>
        <w:softHyphen/>
      </w:r>
    </w:p>
    <w:sectPr w:rsidR="00567608" w:rsidRPr="006C58CF" w:rsidSect="006C58CF">
      <w:type w:val="continuous"/>
      <w:pgSz w:w="12240" w:h="15840"/>
      <w:pgMar w:top="1728" w:right="1440" w:bottom="1440" w:left="144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3DF65" w14:textId="77777777" w:rsidR="00855540" w:rsidRDefault="00855540" w:rsidP="00855540">
      <w:r>
        <w:separator/>
      </w:r>
    </w:p>
  </w:endnote>
  <w:endnote w:type="continuationSeparator" w:id="0">
    <w:p w14:paraId="272A4147" w14:textId="77777777" w:rsidR="00855540" w:rsidRDefault="00855540" w:rsidP="0085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44FDC" w14:textId="77777777" w:rsidR="00855540" w:rsidRDefault="00855540" w:rsidP="00855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105B2" w14:textId="77777777" w:rsidR="00855540" w:rsidRDefault="00855540" w:rsidP="008555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C470" w14:textId="77777777" w:rsidR="00855540" w:rsidRDefault="00855540" w:rsidP="00855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98C">
      <w:rPr>
        <w:rStyle w:val="PageNumber"/>
        <w:noProof/>
      </w:rPr>
      <w:t>1</w:t>
    </w:r>
    <w:r>
      <w:rPr>
        <w:rStyle w:val="PageNumber"/>
      </w:rPr>
      <w:fldChar w:fldCharType="end"/>
    </w:r>
  </w:p>
  <w:p w14:paraId="4E084D50" w14:textId="77777777" w:rsidR="00855540" w:rsidRDefault="00855540" w:rsidP="008555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30096" w14:textId="77777777" w:rsidR="00855540" w:rsidRDefault="00855540" w:rsidP="00855540">
      <w:r>
        <w:separator/>
      </w:r>
    </w:p>
  </w:footnote>
  <w:footnote w:type="continuationSeparator" w:id="0">
    <w:p w14:paraId="1D22EA1D" w14:textId="77777777" w:rsidR="00855540" w:rsidRDefault="00855540" w:rsidP="008555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37CB" w14:textId="465F24E8" w:rsidR="007774C3" w:rsidRDefault="007774C3">
    <w:pPr>
      <w:pStyle w:val="Header"/>
    </w:pPr>
    <w:r>
      <w:rPr>
        <w:rFonts w:ascii="Arial" w:hAnsi="Arial" w:cs="Arial"/>
        <w:b/>
        <w:bCs/>
        <w:noProof/>
        <w:color w:val="15595B"/>
        <w:sz w:val="28"/>
        <w:szCs w:val="28"/>
      </w:rPr>
      <w:drawing>
        <wp:anchor distT="0" distB="0" distL="114300" distR="114300" simplePos="0" relativeHeight="251661312" behindDoc="0" locked="0" layoutInCell="1" allowOverlap="1" wp14:anchorId="4B17B1AC" wp14:editId="0013292C">
          <wp:simplePos x="0" y="0"/>
          <wp:positionH relativeFrom="column">
            <wp:posOffset>4998720</wp:posOffset>
          </wp:positionH>
          <wp:positionV relativeFrom="paragraph">
            <wp:posOffset>429260</wp:posOffset>
          </wp:positionV>
          <wp:extent cx="1381760" cy="637682"/>
          <wp:effectExtent l="0" t="0" r="0" b="0"/>
          <wp:wrapNone/>
          <wp:docPr id="5" name="Picture 5" descr="Client Files:CropLife International:2015:15CLI7636 HRAC BFIO and Visual Identity:15CLI7636 Creative:Logo:Logos:Primary Logo:JPG:HRAC_primar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 Files:CropLife International:2015:15CLI7636 HRAC BFIO and Visual Identity:15CLI7636 Creative:Logo:Logos:Primary Logo:JPG:HRAC_primary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6376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15595B"/>
        <w:sz w:val="28"/>
        <w:szCs w:val="28"/>
      </w:rPr>
      <w:drawing>
        <wp:anchor distT="0" distB="0" distL="114300" distR="114300" simplePos="0" relativeHeight="251659264" behindDoc="1" locked="0" layoutInCell="1" allowOverlap="1" wp14:anchorId="55A530B5" wp14:editId="1F041FF6">
          <wp:simplePos x="0" y="0"/>
          <wp:positionH relativeFrom="column">
            <wp:posOffset>-914400</wp:posOffset>
          </wp:positionH>
          <wp:positionV relativeFrom="paragraph">
            <wp:posOffset>-9525</wp:posOffset>
          </wp:positionV>
          <wp:extent cx="7779385" cy="100679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aper_swooshes.jpg"/>
                  <pic:cNvPicPr/>
                </pic:nvPicPr>
                <pic:blipFill>
                  <a:blip r:embed="rId2">
                    <a:extLst>
                      <a:ext uri="{28A0092B-C50C-407E-A947-70E740481C1C}">
                        <a14:useLocalDpi xmlns:a14="http://schemas.microsoft.com/office/drawing/2010/main" val="0"/>
                      </a:ext>
                    </a:extLst>
                  </a:blip>
                  <a:stretch>
                    <a:fillRect/>
                  </a:stretch>
                </pic:blipFill>
                <pic:spPr>
                  <a:xfrm>
                    <a:off x="0" y="0"/>
                    <a:ext cx="7779385" cy="10067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A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642A2F"/>
    <w:multiLevelType w:val="multilevel"/>
    <w:tmpl w:val="82A6A2C2"/>
    <w:lvl w:ilvl="0">
      <w:start w:val="1"/>
      <w:numFmt w:val="lowerLetter"/>
      <w:lvlText w:val="%1."/>
      <w:lvlJc w:val="left"/>
      <w:pPr>
        <w:tabs>
          <w:tab w:val="num" w:pos="648"/>
        </w:tabs>
        <w:ind w:left="64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2606D5"/>
    <w:multiLevelType w:val="hybridMultilevel"/>
    <w:tmpl w:val="85B8469C"/>
    <w:lvl w:ilvl="0" w:tplc="20523A2C">
      <w:start w:val="1"/>
      <w:numFmt w:val="lowerLetter"/>
      <w:lvlText w:val="%1."/>
      <w:lvlJc w:val="left"/>
      <w:pPr>
        <w:tabs>
          <w:tab w:val="num" w:pos="792"/>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B1249"/>
    <w:multiLevelType w:val="multilevel"/>
    <w:tmpl w:val="B1A82D3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5574E4"/>
    <w:multiLevelType w:val="hybridMultilevel"/>
    <w:tmpl w:val="223CA454"/>
    <w:lvl w:ilvl="0" w:tplc="D9CE7456">
      <w:start w:val="1"/>
      <w:numFmt w:val="lowerLetter"/>
      <w:pStyle w:val="HRACList2"/>
      <w:lvlText w:val="%1."/>
      <w:lvlJc w:val="left"/>
      <w:pPr>
        <w:tabs>
          <w:tab w:val="num" w:pos="936"/>
        </w:tabs>
        <w:ind w:left="936" w:hanging="216"/>
      </w:pPr>
      <w:rPr>
        <w:rFonts w:ascii="Arial" w:hAnsi="Arial" w:hint="default"/>
        <w:b w:val="0"/>
        <w:bCs w:val="0"/>
        <w:i w:val="0"/>
        <w:iCs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0BD3CAD"/>
    <w:multiLevelType w:val="hybridMultilevel"/>
    <w:tmpl w:val="0CD22CC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7C265D5"/>
    <w:multiLevelType w:val="multilevel"/>
    <w:tmpl w:val="3AA2ABCC"/>
    <w:lvl w:ilvl="0">
      <w:start w:val="1"/>
      <w:numFmt w:val="decimal"/>
      <w:lvlText w:val="%1)"/>
      <w:lvlJc w:val="left"/>
      <w:pPr>
        <w:tabs>
          <w:tab w:val="num" w:pos="576"/>
        </w:tabs>
        <w:ind w:left="576"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2B0A6281"/>
    <w:multiLevelType w:val="hybridMultilevel"/>
    <w:tmpl w:val="BBE00DF4"/>
    <w:lvl w:ilvl="0" w:tplc="9F0E4708">
      <w:start w:val="1"/>
      <w:numFmt w:val="decimal"/>
      <w:pStyle w:val="HRACList"/>
      <w:lvlText w:val="%1)"/>
      <w:lvlJc w:val="left"/>
      <w:pPr>
        <w:tabs>
          <w:tab w:val="num" w:pos="576"/>
        </w:tabs>
        <w:ind w:left="576"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BEB13FB"/>
    <w:multiLevelType w:val="hybridMultilevel"/>
    <w:tmpl w:val="82A6A2C2"/>
    <w:lvl w:ilvl="0" w:tplc="394C72A2">
      <w:start w:val="1"/>
      <w:numFmt w:val="lowerLetter"/>
      <w:lvlText w:val="%1."/>
      <w:lvlJc w:val="left"/>
      <w:pPr>
        <w:tabs>
          <w:tab w:val="num" w:pos="648"/>
        </w:tabs>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BF6917"/>
    <w:multiLevelType w:val="hybridMultilevel"/>
    <w:tmpl w:val="9968B89C"/>
    <w:lvl w:ilvl="0" w:tplc="AD006FE2">
      <w:start w:val="1"/>
      <w:numFmt w:val="upperRoman"/>
      <w:pStyle w:val="HRACContents"/>
      <w:lvlText w:val="%1."/>
      <w:lvlJc w:val="right"/>
      <w:pPr>
        <w:tabs>
          <w:tab w:val="num" w:pos="360"/>
        </w:tabs>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96EAC"/>
    <w:multiLevelType w:val="hybridMultilevel"/>
    <w:tmpl w:val="1722B108"/>
    <w:lvl w:ilvl="0" w:tplc="C7DCB756">
      <w:start w:val="1"/>
      <w:numFmt w:val="lowerLetter"/>
      <w:lvlText w:val="%1."/>
      <w:lvlJc w:val="left"/>
      <w:pPr>
        <w:tabs>
          <w:tab w:val="num" w:pos="936"/>
        </w:tabs>
        <w:ind w:left="576" w:firstLine="360"/>
      </w:pPr>
      <w:rPr>
        <w:rFonts w:ascii="Arial" w:hAnsi="Arial" w:hint="default"/>
        <w:b w:val="0"/>
        <w:bCs w:val="0"/>
        <w:i w:val="0"/>
        <w:iCs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FB27DEA"/>
    <w:multiLevelType w:val="hybridMultilevel"/>
    <w:tmpl w:val="AFB41BC8"/>
    <w:lvl w:ilvl="0" w:tplc="F7A4052A">
      <w:start w:val="1"/>
      <w:numFmt w:val="lowerLetter"/>
      <w:lvlText w:val="%1."/>
      <w:lvlJc w:val="left"/>
      <w:pPr>
        <w:tabs>
          <w:tab w:val="num" w:pos="648"/>
        </w:tabs>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31B59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CD1576C"/>
    <w:multiLevelType w:val="hybridMultilevel"/>
    <w:tmpl w:val="4678F94E"/>
    <w:lvl w:ilvl="0" w:tplc="C49E7DE2">
      <w:start w:val="1"/>
      <w:numFmt w:val="lowerLetter"/>
      <w:lvlText w:val="%1."/>
      <w:lvlJc w:val="left"/>
      <w:pPr>
        <w:tabs>
          <w:tab w:val="num" w:pos="648"/>
        </w:tabs>
        <w:ind w:left="720" w:hanging="360"/>
      </w:pPr>
      <w:rPr>
        <w:rFonts w:ascii="Arial" w:hAnsi="Arial" w:hint="default"/>
        <w:b w:val="0"/>
        <w:bCs w:val="0"/>
        <w:i w:val="0"/>
        <w:iCs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D2167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3DA4BF1"/>
    <w:multiLevelType w:val="multilevel"/>
    <w:tmpl w:val="1722B108"/>
    <w:lvl w:ilvl="0">
      <w:start w:val="1"/>
      <w:numFmt w:val="lowerLetter"/>
      <w:lvlText w:val="%1."/>
      <w:lvlJc w:val="left"/>
      <w:pPr>
        <w:tabs>
          <w:tab w:val="num" w:pos="936"/>
        </w:tabs>
        <w:ind w:left="576" w:firstLine="360"/>
      </w:pPr>
      <w:rPr>
        <w:rFonts w:ascii="Arial" w:hAnsi="Arial" w:hint="default"/>
        <w:b w:val="0"/>
        <w:bCs w:val="0"/>
        <w:i w:val="0"/>
        <w:iCs w:val="0"/>
        <w:sz w:val="18"/>
        <w:szCs w:val="1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503371A9"/>
    <w:multiLevelType w:val="multilevel"/>
    <w:tmpl w:val="BBE00DF4"/>
    <w:lvl w:ilvl="0">
      <w:start w:val="1"/>
      <w:numFmt w:val="decimal"/>
      <w:lvlText w:val="%1)"/>
      <w:lvlJc w:val="left"/>
      <w:pPr>
        <w:tabs>
          <w:tab w:val="num" w:pos="576"/>
        </w:tabs>
        <w:ind w:left="576"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nsid w:val="515B5D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4395A8C"/>
    <w:multiLevelType w:val="hybridMultilevel"/>
    <w:tmpl w:val="DF2E88E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5C6466A"/>
    <w:multiLevelType w:val="hybridMultilevel"/>
    <w:tmpl w:val="972E4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F41D8"/>
    <w:multiLevelType w:val="multilevel"/>
    <w:tmpl w:val="DF2E88E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1">
    <w:nsid w:val="5B4D67F4"/>
    <w:multiLevelType w:val="hybridMultilevel"/>
    <w:tmpl w:val="B1A82D38"/>
    <w:lvl w:ilvl="0" w:tplc="572E0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26618"/>
    <w:multiLevelType w:val="hybridMultilevel"/>
    <w:tmpl w:val="14707F64"/>
    <w:lvl w:ilvl="0" w:tplc="8A2AF8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55C96"/>
    <w:multiLevelType w:val="multilevel"/>
    <w:tmpl w:val="AFB41BC8"/>
    <w:lvl w:ilvl="0">
      <w:start w:val="1"/>
      <w:numFmt w:val="lowerLetter"/>
      <w:lvlText w:val="%1."/>
      <w:lvlJc w:val="left"/>
      <w:pPr>
        <w:tabs>
          <w:tab w:val="num" w:pos="648"/>
        </w:tabs>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nsid w:val="64D5052E"/>
    <w:multiLevelType w:val="multilevel"/>
    <w:tmpl w:val="BBE00DF4"/>
    <w:lvl w:ilvl="0">
      <w:start w:val="1"/>
      <w:numFmt w:val="decimal"/>
      <w:lvlText w:val="%1)"/>
      <w:lvlJc w:val="left"/>
      <w:pPr>
        <w:tabs>
          <w:tab w:val="num" w:pos="576"/>
        </w:tabs>
        <w:ind w:left="576"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5">
    <w:nsid w:val="72370571"/>
    <w:multiLevelType w:val="hybridMultilevel"/>
    <w:tmpl w:val="92847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F050CE"/>
    <w:multiLevelType w:val="multilevel"/>
    <w:tmpl w:val="4678F94E"/>
    <w:lvl w:ilvl="0">
      <w:start w:val="1"/>
      <w:numFmt w:val="lowerLetter"/>
      <w:lvlText w:val="%1."/>
      <w:lvlJc w:val="left"/>
      <w:pPr>
        <w:tabs>
          <w:tab w:val="num" w:pos="648"/>
        </w:tabs>
        <w:ind w:left="720" w:hanging="360"/>
      </w:pPr>
      <w:rPr>
        <w:rFonts w:ascii="Arial" w:hAnsi="Arial" w:hint="default"/>
        <w:b w:val="0"/>
        <w:bCs w:val="0"/>
        <w:i w:val="0"/>
        <w:iCs w:val="0"/>
        <w:sz w:val="18"/>
        <w:szCs w:val="1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5"/>
  </w:num>
  <w:num w:numId="2">
    <w:abstractNumId w:val="25"/>
  </w:num>
  <w:num w:numId="3">
    <w:abstractNumId w:val="18"/>
  </w:num>
  <w:num w:numId="4">
    <w:abstractNumId w:val="19"/>
  </w:num>
  <w:num w:numId="5">
    <w:abstractNumId w:val="20"/>
  </w:num>
  <w:num w:numId="6">
    <w:abstractNumId w:val="7"/>
  </w:num>
  <w:num w:numId="7">
    <w:abstractNumId w:val="6"/>
  </w:num>
  <w:num w:numId="8">
    <w:abstractNumId w:val="24"/>
  </w:num>
  <w:num w:numId="9">
    <w:abstractNumId w:val="9"/>
  </w:num>
  <w:num w:numId="10">
    <w:abstractNumId w:val="22"/>
  </w:num>
  <w:num w:numId="11">
    <w:abstractNumId w:val="21"/>
  </w:num>
  <w:num w:numId="12">
    <w:abstractNumId w:val="3"/>
  </w:num>
  <w:num w:numId="13">
    <w:abstractNumId w:val="8"/>
  </w:num>
  <w:num w:numId="14">
    <w:abstractNumId w:val="1"/>
  </w:num>
  <w:num w:numId="15">
    <w:abstractNumId w:val="2"/>
  </w:num>
  <w:num w:numId="16">
    <w:abstractNumId w:val="17"/>
  </w:num>
  <w:num w:numId="17">
    <w:abstractNumId w:val="0"/>
  </w:num>
  <w:num w:numId="18">
    <w:abstractNumId w:val="14"/>
  </w:num>
  <w:num w:numId="19">
    <w:abstractNumId w:val="12"/>
  </w:num>
  <w:num w:numId="20">
    <w:abstractNumId w:val="16"/>
  </w:num>
  <w:num w:numId="21">
    <w:abstractNumId w:val="11"/>
  </w:num>
  <w:num w:numId="22">
    <w:abstractNumId w:val="23"/>
  </w:num>
  <w:num w:numId="23">
    <w:abstractNumId w:val="13"/>
  </w:num>
  <w:num w:numId="24">
    <w:abstractNumId w:val="26"/>
  </w:num>
  <w:num w:numId="25">
    <w:abstractNumId w:val="10"/>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ED"/>
    <w:rsid w:val="00176C8C"/>
    <w:rsid w:val="00191F90"/>
    <w:rsid w:val="00567608"/>
    <w:rsid w:val="006C58CF"/>
    <w:rsid w:val="007774C3"/>
    <w:rsid w:val="00855540"/>
    <w:rsid w:val="009058ED"/>
    <w:rsid w:val="00994E32"/>
    <w:rsid w:val="00A92671"/>
    <w:rsid w:val="00AA29EC"/>
    <w:rsid w:val="00B81575"/>
    <w:rsid w:val="00CC398C"/>
    <w:rsid w:val="00D6529B"/>
    <w:rsid w:val="00E57D9F"/>
    <w:rsid w:val="00EC4BD5"/>
    <w:rsid w:val="00F206C7"/>
    <w:rsid w:val="00FD0E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983C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8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8ED"/>
    <w:rPr>
      <w:rFonts w:ascii="Lucida Grande" w:hAnsi="Lucida Grande" w:cs="Lucida Grande"/>
      <w:sz w:val="18"/>
      <w:szCs w:val="18"/>
    </w:rPr>
  </w:style>
  <w:style w:type="paragraph" w:customStyle="1" w:styleId="BasicParagraph">
    <w:name w:val="[Basic Paragraph]"/>
    <w:basedOn w:val="Normal"/>
    <w:uiPriority w:val="99"/>
    <w:rsid w:val="00AA29E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RACBodyCopy">
    <w:name w:val="HRAC Body Copy"/>
    <w:basedOn w:val="BasicParagraph"/>
    <w:qFormat/>
    <w:rsid w:val="00FD0E14"/>
    <w:pPr>
      <w:suppressAutoHyphens/>
      <w:spacing w:after="180" w:line="240" w:lineRule="auto"/>
    </w:pPr>
    <w:rPr>
      <w:rFonts w:ascii="Arial" w:hAnsi="Arial" w:cs="Arial"/>
      <w:color w:val="595959" w:themeColor="text1" w:themeTint="A6"/>
      <w:sz w:val="18"/>
      <w:szCs w:val="20"/>
    </w:rPr>
  </w:style>
  <w:style w:type="paragraph" w:customStyle="1" w:styleId="HRACTitle">
    <w:name w:val="HRAC Title"/>
    <w:basedOn w:val="BasicParagraph"/>
    <w:qFormat/>
    <w:rsid w:val="006C58CF"/>
    <w:pPr>
      <w:suppressAutoHyphens/>
      <w:spacing w:after="180" w:line="240" w:lineRule="auto"/>
    </w:pPr>
    <w:rPr>
      <w:rFonts w:ascii="Arial" w:hAnsi="Arial" w:cs="Arial"/>
      <w:b/>
      <w:bCs/>
      <w:color w:val="15595B"/>
      <w:sz w:val="28"/>
      <w:szCs w:val="28"/>
    </w:rPr>
  </w:style>
  <w:style w:type="paragraph" w:customStyle="1" w:styleId="HRACAuthors">
    <w:name w:val="HRAC Authors"/>
    <w:basedOn w:val="Normal"/>
    <w:qFormat/>
    <w:rsid w:val="006C58CF"/>
    <w:pPr>
      <w:widowControl w:val="0"/>
      <w:autoSpaceDE w:val="0"/>
      <w:autoSpaceDN w:val="0"/>
      <w:adjustRightInd w:val="0"/>
      <w:spacing w:after="270" w:line="288" w:lineRule="auto"/>
      <w:textAlignment w:val="center"/>
    </w:pPr>
    <w:rPr>
      <w:rFonts w:ascii="Arial-BoldMT" w:hAnsi="Arial-BoldMT" w:cs="Arial-BoldMT"/>
      <w:b/>
      <w:bCs/>
      <w:color w:val="595959" w:themeColor="text1" w:themeTint="A6"/>
      <w:sz w:val="22"/>
      <w:szCs w:val="22"/>
      <w:lang w:val="en-US"/>
    </w:rPr>
  </w:style>
  <w:style w:type="paragraph" w:customStyle="1" w:styleId="HRACContributors">
    <w:name w:val="HRAC Contributors"/>
    <w:basedOn w:val="Normal"/>
    <w:qFormat/>
    <w:rsid w:val="006C58CF"/>
    <w:pPr>
      <w:widowControl w:val="0"/>
      <w:autoSpaceDE w:val="0"/>
      <w:autoSpaceDN w:val="0"/>
      <w:adjustRightInd w:val="0"/>
      <w:spacing w:line="288" w:lineRule="auto"/>
      <w:textAlignment w:val="center"/>
    </w:pPr>
    <w:rPr>
      <w:rFonts w:ascii="ArialMT" w:hAnsi="ArialMT" w:cs="ArialMT"/>
      <w:color w:val="595959" w:themeColor="text1" w:themeTint="A6"/>
      <w:sz w:val="16"/>
      <w:szCs w:val="16"/>
      <w:lang w:val="en-US"/>
    </w:rPr>
  </w:style>
  <w:style w:type="paragraph" w:customStyle="1" w:styleId="HRACSubhead">
    <w:name w:val="HRAC Subhead"/>
    <w:basedOn w:val="Normal"/>
    <w:qFormat/>
    <w:rsid w:val="006C58CF"/>
    <w:pPr>
      <w:widowControl w:val="0"/>
      <w:autoSpaceDE w:val="0"/>
      <w:autoSpaceDN w:val="0"/>
      <w:adjustRightInd w:val="0"/>
      <w:spacing w:after="90" w:line="288" w:lineRule="auto"/>
      <w:textAlignment w:val="center"/>
    </w:pPr>
    <w:rPr>
      <w:rFonts w:ascii="Arial-BoldMT" w:hAnsi="Arial-BoldMT" w:cs="Arial-BoldMT"/>
      <w:b/>
      <w:bCs/>
      <w:color w:val="15595B"/>
      <w:sz w:val="22"/>
      <w:szCs w:val="22"/>
      <w:lang w:val="en-US"/>
    </w:rPr>
  </w:style>
  <w:style w:type="paragraph" w:styleId="ListParagraph">
    <w:name w:val="List Paragraph"/>
    <w:basedOn w:val="Normal"/>
    <w:uiPriority w:val="34"/>
    <w:qFormat/>
    <w:rsid w:val="006C58CF"/>
    <w:pPr>
      <w:ind w:left="720"/>
      <w:contextualSpacing/>
    </w:pPr>
  </w:style>
  <w:style w:type="paragraph" w:customStyle="1" w:styleId="HRACList">
    <w:name w:val="HRAC List"/>
    <w:basedOn w:val="HRACBodyCopy"/>
    <w:qFormat/>
    <w:rsid w:val="00FD0E14"/>
    <w:pPr>
      <w:numPr>
        <w:numId w:val="6"/>
      </w:numPr>
      <w:tabs>
        <w:tab w:val="left" w:pos="320"/>
        <w:tab w:val="left" w:pos="540"/>
      </w:tabs>
      <w:spacing w:after="43" w:line="288" w:lineRule="auto"/>
    </w:pPr>
    <w:rPr>
      <w:rFonts w:ascii="ArialMT" w:hAnsi="ArialMT" w:cs="ArialMT"/>
      <w:color w:val="323F4C"/>
      <w:szCs w:val="18"/>
    </w:rPr>
  </w:style>
  <w:style w:type="paragraph" w:customStyle="1" w:styleId="HRACContents">
    <w:name w:val="HRAC Contents"/>
    <w:basedOn w:val="HRACBodyCopy"/>
    <w:qFormat/>
    <w:rsid w:val="00E57D9F"/>
    <w:pPr>
      <w:numPr>
        <w:numId w:val="9"/>
      </w:numPr>
    </w:pPr>
  </w:style>
  <w:style w:type="paragraph" w:customStyle="1" w:styleId="HRACList2">
    <w:name w:val="HRAC List2"/>
    <w:basedOn w:val="HRACList"/>
    <w:qFormat/>
    <w:rsid w:val="00D6529B"/>
    <w:pPr>
      <w:numPr>
        <w:numId w:val="27"/>
      </w:numPr>
    </w:pPr>
  </w:style>
  <w:style w:type="paragraph" w:styleId="Footer">
    <w:name w:val="footer"/>
    <w:basedOn w:val="Normal"/>
    <w:link w:val="FooterChar"/>
    <w:uiPriority w:val="99"/>
    <w:unhideWhenUsed/>
    <w:rsid w:val="00855540"/>
    <w:pPr>
      <w:tabs>
        <w:tab w:val="center" w:pos="4320"/>
        <w:tab w:val="right" w:pos="8640"/>
      </w:tabs>
    </w:pPr>
  </w:style>
  <w:style w:type="character" w:customStyle="1" w:styleId="FooterChar">
    <w:name w:val="Footer Char"/>
    <w:basedOn w:val="DefaultParagraphFont"/>
    <w:link w:val="Footer"/>
    <w:uiPriority w:val="99"/>
    <w:rsid w:val="00855540"/>
  </w:style>
  <w:style w:type="character" w:styleId="PageNumber">
    <w:name w:val="page number"/>
    <w:basedOn w:val="DefaultParagraphFont"/>
    <w:uiPriority w:val="99"/>
    <w:semiHidden/>
    <w:unhideWhenUsed/>
    <w:rsid w:val="00855540"/>
  </w:style>
  <w:style w:type="paragraph" w:styleId="Header">
    <w:name w:val="header"/>
    <w:basedOn w:val="Normal"/>
    <w:link w:val="HeaderChar"/>
    <w:uiPriority w:val="99"/>
    <w:unhideWhenUsed/>
    <w:rsid w:val="007774C3"/>
    <w:pPr>
      <w:tabs>
        <w:tab w:val="center" w:pos="4320"/>
        <w:tab w:val="right" w:pos="8640"/>
      </w:tabs>
    </w:pPr>
  </w:style>
  <w:style w:type="character" w:customStyle="1" w:styleId="HeaderChar">
    <w:name w:val="Header Char"/>
    <w:basedOn w:val="DefaultParagraphFont"/>
    <w:link w:val="Header"/>
    <w:uiPriority w:val="99"/>
    <w:rsid w:val="007774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8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8ED"/>
    <w:rPr>
      <w:rFonts w:ascii="Lucida Grande" w:hAnsi="Lucida Grande" w:cs="Lucida Grande"/>
      <w:sz w:val="18"/>
      <w:szCs w:val="18"/>
    </w:rPr>
  </w:style>
  <w:style w:type="paragraph" w:customStyle="1" w:styleId="BasicParagraph">
    <w:name w:val="[Basic Paragraph]"/>
    <w:basedOn w:val="Normal"/>
    <w:uiPriority w:val="99"/>
    <w:rsid w:val="00AA29E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RACBodyCopy">
    <w:name w:val="HRAC Body Copy"/>
    <w:basedOn w:val="BasicParagraph"/>
    <w:qFormat/>
    <w:rsid w:val="00FD0E14"/>
    <w:pPr>
      <w:suppressAutoHyphens/>
      <w:spacing w:after="180" w:line="240" w:lineRule="auto"/>
    </w:pPr>
    <w:rPr>
      <w:rFonts w:ascii="Arial" w:hAnsi="Arial" w:cs="Arial"/>
      <w:color w:val="595959" w:themeColor="text1" w:themeTint="A6"/>
      <w:sz w:val="18"/>
      <w:szCs w:val="20"/>
    </w:rPr>
  </w:style>
  <w:style w:type="paragraph" w:customStyle="1" w:styleId="HRACTitle">
    <w:name w:val="HRAC Title"/>
    <w:basedOn w:val="BasicParagraph"/>
    <w:qFormat/>
    <w:rsid w:val="006C58CF"/>
    <w:pPr>
      <w:suppressAutoHyphens/>
      <w:spacing w:after="180" w:line="240" w:lineRule="auto"/>
    </w:pPr>
    <w:rPr>
      <w:rFonts w:ascii="Arial" w:hAnsi="Arial" w:cs="Arial"/>
      <w:b/>
      <w:bCs/>
      <w:color w:val="15595B"/>
      <w:sz w:val="28"/>
      <w:szCs w:val="28"/>
    </w:rPr>
  </w:style>
  <w:style w:type="paragraph" w:customStyle="1" w:styleId="HRACAuthors">
    <w:name w:val="HRAC Authors"/>
    <w:basedOn w:val="Normal"/>
    <w:qFormat/>
    <w:rsid w:val="006C58CF"/>
    <w:pPr>
      <w:widowControl w:val="0"/>
      <w:autoSpaceDE w:val="0"/>
      <w:autoSpaceDN w:val="0"/>
      <w:adjustRightInd w:val="0"/>
      <w:spacing w:after="270" w:line="288" w:lineRule="auto"/>
      <w:textAlignment w:val="center"/>
    </w:pPr>
    <w:rPr>
      <w:rFonts w:ascii="Arial-BoldMT" w:hAnsi="Arial-BoldMT" w:cs="Arial-BoldMT"/>
      <w:b/>
      <w:bCs/>
      <w:color w:val="595959" w:themeColor="text1" w:themeTint="A6"/>
      <w:sz w:val="22"/>
      <w:szCs w:val="22"/>
      <w:lang w:val="en-US"/>
    </w:rPr>
  </w:style>
  <w:style w:type="paragraph" w:customStyle="1" w:styleId="HRACContributors">
    <w:name w:val="HRAC Contributors"/>
    <w:basedOn w:val="Normal"/>
    <w:qFormat/>
    <w:rsid w:val="006C58CF"/>
    <w:pPr>
      <w:widowControl w:val="0"/>
      <w:autoSpaceDE w:val="0"/>
      <w:autoSpaceDN w:val="0"/>
      <w:adjustRightInd w:val="0"/>
      <w:spacing w:line="288" w:lineRule="auto"/>
      <w:textAlignment w:val="center"/>
    </w:pPr>
    <w:rPr>
      <w:rFonts w:ascii="ArialMT" w:hAnsi="ArialMT" w:cs="ArialMT"/>
      <w:color w:val="595959" w:themeColor="text1" w:themeTint="A6"/>
      <w:sz w:val="16"/>
      <w:szCs w:val="16"/>
      <w:lang w:val="en-US"/>
    </w:rPr>
  </w:style>
  <w:style w:type="paragraph" w:customStyle="1" w:styleId="HRACSubhead">
    <w:name w:val="HRAC Subhead"/>
    <w:basedOn w:val="Normal"/>
    <w:qFormat/>
    <w:rsid w:val="006C58CF"/>
    <w:pPr>
      <w:widowControl w:val="0"/>
      <w:autoSpaceDE w:val="0"/>
      <w:autoSpaceDN w:val="0"/>
      <w:adjustRightInd w:val="0"/>
      <w:spacing w:after="90" w:line="288" w:lineRule="auto"/>
      <w:textAlignment w:val="center"/>
    </w:pPr>
    <w:rPr>
      <w:rFonts w:ascii="Arial-BoldMT" w:hAnsi="Arial-BoldMT" w:cs="Arial-BoldMT"/>
      <w:b/>
      <w:bCs/>
      <w:color w:val="15595B"/>
      <w:sz w:val="22"/>
      <w:szCs w:val="22"/>
      <w:lang w:val="en-US"/>
    </w:rPr>
  </w:style>
  <w:style w:type="paragraph" w:styleId="ListParagraph">
    <w:name w:val="List Paragraph"/>
    <w:basedOn w:val="Normal"/>
    <w:uiPriority w:val="34"/>
    <w:qFormat/>
    <w:rsid w:val="006C58CF"/>
    <w:pPr>
      <w:ind w:left="720"/>
      <w:contextualSpacing/>
    </w:pPr>
  </w:style>
  <w:style w:type="paragraph" w:customStyle="1" w:styleId="HRACList">
    <w:name w:val="HRAC List"/>
    <w:basedOn w:val="HRACBodyCopy"/>
    <w:qFormat/>
    <w:rsid w:val="00FD0E14"/>
    <w:pPr>
      <w:numPr>
        <w:numId w:val="6"/>
      </w:numPr>
      <w:tabs>
        <w:tab w:val="left" w:pos="320"/>
        <w:tab w:val="left" w:pos="540"/>
      </w:tabs>
      <w:spacing w:after="43" w:line="288" w:lineRule="auto"/>
    </w:pPr>
    <w:rPr>
      <w:rFonts w:ascii="ArialMT" w:hAnsi="ArialMT" w:cs="ArialMT"/>
      <w:color w:val="323F4C"/>
      <w:szCs w:val="18"/>
    </w:rPr>
  </w:style>
  <w:style w:type="paragraph" w:customStyle="1" w:styleId="HRACContents">
    <w:name w:val="HRAC Contents"/>
    <w:basedOn w:val="HRACBodyCopy"/>
    <w:qFormat/>
    <w:rsid w:val="00E57D9F"/>
    <w:pPr>
      <w:numPr>
        <w:numId w:val="9"/>
      </w:numPr>
    </w:pPr>
  </w:style>
  <w:style w:type="paragraph" w:customStyle="1" w:styleId="HRACList2">
    <w:name w:val="HRAC List2"/>
    <w:basedOn w:val="HRACList"/>
    <w:qFormat/>
    <w:rsid w:val="00D6529B"/>
    <w:pPr>
      <w:numPr>
        <w:numId w:val="27"/>
      </w:numPr>
    </w:pPr>
  </w:style>
  <w:style w:type="paragraph" w:styleId="Footer">
    <w:name w:val="footer"/>
    <w:basedOn w:val="Normal"/>
    <w:link w:val="FooterChar"/>
    <w:uiPriority w:val="99"/>
    <w:unhideWhenUsed/>
    <w:rsid w:val="00855540"/>
    <w:pPr>
      <w:tabs>
        <w:tab w:val="center" w:pos="4320"/>
        <w:tab w:val="right" w:pos="8640"/>
      </w:tabs>
    </w:pPr>
  </w:style>
  <w:style w:type="character" w:customStyle="1" w:styleId="FooterChar">
    <w:name w:val="Footer Char"/>
    <w:basedOn w:val="DefaultParagraphFont"/>
    <w:link w:val="Footer"/>
    <w:uiPriority w:val="99"/>
    <w:rsid w:val="00855540"/>
  </w:style>
  <w:style w:type="character" w:styleId="PageNumber">
    <w:name w:val="page number"/>
    <w:basedOn w:val="DefaultParagraphFont"/>
    <w:uiPriority w:val="99"/>
    <w:semiHidden/>
    <w:unhideWhenUsed/>
    <w:rsid w:val="00855540"/>
  </w:style>
  <w:style w:type="paragraph" w:styleId="Header">
    <w:name w:val="header"/>
    <w:basedOn w:val="Normal"/>
    <w:link w:val="HeaderChar"/>
    <w:uiPriority w:val="99"/>
    <w:unhideWhenUsed/>
    <w:rsid w:val="007774C3"/>
    <w:pPr>
      <w:tabs>
        <w:tab w:val="center" w:pos="4320"/>
        <w:tab w:val="right" w:pos="8640"/>
      </w:tabs>
    </w:pPr>
  </w:style>
  <w:style w:type="character" w:customStyle="1" w:styleId="HeaderChar">
    <w:name w:val="Header Char"/>
    <w:basedOn w:val="DefaultParagraphFont"/>
    <w:link w:val="Header"/>
    <w:uiPriority w:val="99"/>
    <w:rsid w:val="0077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3.jp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4DB1-38C9-994C-9E13-FB284BBF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1092</Words>
  <Characters>6225</Characters>
  <Application>Microsoft Macintosh Word</Application>
  <DocSecurity>0</DocSecurity>
  <Lines>51</Lines>
  <Paragraphs>14</Paragraphs>
  <ScaleCrop>false</ScaleCrop>
  <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Case</dc:creator>
  <cp:keywords/>
  <dc:description/>
  <cp:lastModifiedBy>Krista Pratt</cp:lastModifiedBy>
  <cp:revision>7</cp:revision>
  <dcterms:created xsi:type="dcterms:W3CDTF">2016-06-06T20:38:00Z</dcterms:created>
  <dcterms:modified xsi:type="dcterms:W3CDTF">2016-06-07T20:56:00Z</dcterms:modified>
</cp:coreProperties>
</file>