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546" w:rsidRPr="00CD2835" w:rsidRDefault="00A844E3" w:rsidP="000A2701">
      <w:pPr>
        <w:rPr>
          <w:b/>
          <w:sz w:val="24"/>
        </w:rPr>
      </w:pPr>
      <w:r w:rsidRPr="00CD2835">
        <w:rPr>
          <w:b/>
          <w:sz w:val="24"/>
        </w:rPr>
        <w:t xml:space="preserve">Global HRAC Issues </w:t>
      </w:r>
      <w:r w:rsidR="00AB22D1" w:rsidRPr="00AB22D1">
        <w:rPr>
          <w:b/>
          <w:sz w:val="24"/>
        </w:rPr>
        <w:t>Management Working Group</w:t>
      </w:r>
      <w:r w:rsidR="00AB22D1">
        <w:rPr>
          <w:b/>
          <w:sz w:val="24"/>
        </w:rPr>
        <w:t xml:space="preserve"> (IMWG)</w:t>
      </w:r>
      <w:r w:rsidRPr="00CD2835">
        <w:rPr>
          <w:b/>
          <w:sz w:val="24"/>
        </w:rPr>
        <w:t xml:space="preserve"> Charter</w:t>
      </w:r>
    </w:p>
    <w:p w:rsidR="00A844E3" w:rsidRDefault="00A844E3"/>
    <w:p w:rsidR="00A844E3" w:rsidRPr="00CD2835" w:rsidRDefault="00A844E3">
      <w:pPr>
        <w:rPr>
          <w:u w:val="single"/>
        </w:rPr>
      </w:pPr>
      <w:r w:rsidRPr="00CD2835">
        <w:rPr>
          <w:u w:val="single"/>
        </w:rPr>
        <w:t>Primary Objectives</w:t>
      </w:r>
    </w:p>
    <w:p w:rsidR="009D59F9" w:rsidRDefault="009D59F9" w:rsidP="009D59F9">
      <w:pPr>
        <w:ind w:left="360"/>
      </w:pPr>
      <w:r>
        <w:t>Within the scope defined by HRAC constitution</w:t>
      </w:r>
      <w:r w:rsidR="00AB22D1">
        <w:t xml:space="preserve"> the IMWG will</w:t>
      </w:r>
      <w:r>
        <w:t>:</w:t>
      </w:r>
    </w:p>
    <w:p w:rsidR="00A844E3" w:rsidRDefault="00A844E3" w:rsidP="00A844E3">
      <w:pPr>
        <w:pStyle w:val="ListParagraph"/>
        <w:numPr>
          <w:ilvl w:val="0"/>
          <w:numId w:val="1"/>
        </w:numPr>
      </w:pPr>
      <w:r>
        <w:t>Identify</w:t>
      </w:r>
      <w:r w:rsidR="009D59F9">
        <w:t xml:space="preserve"> and prioritize</w:t>
      </w:r>
      <w:r>
        <w:t xml:space="preserve"> current issues that GHRAC </w:t>
      </w:r>
      <w:r w:rsidR="009D59F9">
        <w:t xml:space="preserve">can impact and </w:t>
      </w:r>
      <w:r>
        <w:t>should engage in</w:t>
      </w:r>
    </w:p>
    <w:p w:rsidR="00A844E3" w:rsidRDefault="00A844E3" w:rsidP="00A844E3">
      <w:pPr>
        <w:pStyle w:val="ListParagraph"/>
        <w:numPr>
          <w:ilvl w:val="0"/>
          <w:numId w:val="1"/>
        </w:numPr>
      </w:pPr>
      <w:r>
        <w:t xml:space="preserve">Identify </w:t>
      </w:r>
      <w:r w:rsidR="009D59F9">
        <w:t xml:space="preserve">and prioritize </w:t>
      </w:r>
      <w:r>
        <w:t>possible future issues that GHRAC can impact</w:t>
      </w:r>
    </w:p>
    <w:p w:rsidR="00A844E3" w:rsidRDefault="00A844E3" w:rsidP="00A844E3">
      <w:pPr>
        <w:pStyle w:val="ListParagraph"/>
        <w:numPr>
          <w:ilvl w:val="0"/>
          <w:numId w:val="1"/>
        </w:numPr>
      </w:pPr>
      <w:r>
        <w:t xml:space="preserve">Devise action plans, timelines, and assignments for addressing identified </w:t>
      </w:r>
      <w:r w:rsidR="008652E2">
        <w:t xml:space="preserve">high priority </w:t>
      </w:r>
      <w:r>
        <w:t>issues</w:t>
      </w:r>
    </w:p>
    <w:p w:rsidR="00A844E3" w:rsidRPr="00CD2835" w:rsidRDefault="00A844E3" w:rsidP="00A844E3">
      <w:pPr>
        <w:rPr>
          <w:u w:val="single"/>
        </w:rPr>
      </w:pPr>
      <w:r w:rsidRPr="00CD2835">
        <w:rPr>
          <w:u w:val="single"/>
        </w:rPr>
        <w:t>Members</w:t>
      </w:r>
    </w:p>
    <w:p w:rsidR="00A844E3" w:rsidRDefault="00A844E3" w:rsidP="00A844E3">
      <w:pPr>
        <w:pStyle w:val="ListParagraph"/>
        <w:numPr>
          <w:ilvl w:val="0"/>
          <w:numId w:val="2"/>
        </w:numPr>
      </w:pPr>
      <w:r>
        <w:t>Harry Strek</w:t>
      </w:r>
    </w:p>
    <w:p w:rsidR="00A844E3" w:rsidRDefault="00A844E3" w:rsidP="00A844E3">
      <w:pPr>
        <w:pStyle w:val="ListParagraph"/>
        <w:numPr>
          <w:ilvl w:val="0"/>
          <w:numId w:val="2"/>
        </w:numPr>
      </w:pPr>
      <w:r>
        <w:t>Mark Peterson</w:t>
      </w:r>
    </w:p>
    <w:p w:rsidR="00A844E3" w:rsidRDefault="00A844E3" w:rsidP="00A844E3">
      <w:pPr>
        <w:pStyle w:val="ListParagraph"/>
        <w:numPr>
          <w:ilvl w:val="0"/>
          <w:numId w:val="2"/>
        </w:numPr>
      </w:pPr>
      <w:r>
        <w:t>Other Volunteers?</w:t>
      </w:r>
    </w:p>
    <w:p w:rsidR="00A844E3" w:rsidRPr="00CD2835" w:rsidRDefault="00871E47" w:rsidP="00A844E3">
      <w:pPr>
        <w:rPr>
          <w:u w:val="single"/>
        </w:rPr>
      </w:pPr>
      <w:r w:rsidRPr="00CD2835">
        <w:rPr>
          <w:u w:val="single"/>
        </w:rPr>
        <w:t>Team Development</w:t>
      </w:r>
    </w:p>
    <w:p w:rsidR="00A844E3" w:rsidRDefault="00317554" w:rsidP="00A844E3">
      <w:r>
        <w:t>Phase I – Structure, membership, objectives</w:t>
      </w:r>
    </w:p>
    <w:p w:rsidR="00317554" w:rsidRDefault="00317554" w:rsidP="00A844E3">
      <w:r>
        <w:t xml:space="preserve">Phase II </w:t>
      </w:r>
      <w:r w:rsidR="00CD2835">
        <w:t>– Gather inputs, brainstorm issues</w:t>
      </w:r>
    </w:p>
    <w:p w:rsidR="00CD2835" w:rsidRDefault="00CD2835" w:rsidP="00A844E3">
      <w:r>
        <w:t>Phase III – Establish action plans and timelines</w:t>
      </w:r>
    </w:p>
    <w:p w:rsidR="00A070C2" w:rsidRDefault="00A070C2" w:rsidP="00A844E3"/>
    <w:p w:rsidR="00A070C2" w:rsidRDefault="00A070C2">
      <w:r>
        <w:br w:type="page"/>
      </w:r>
    </w:p>
    <w:p w:rsidR="00A070C2" w:rsidRPr="00577223" w:rsidRDefault="00A070C2" w:rsidP="00A844E3">
      <w:pPr>
        <w:rPr>
          <w:u w:val="single"/>
        </w:rPr>
      </w:pPr>
      <w:r w:rsidRPr="00577223">
        <w:rPr>
          <w:u w:val="single"/>
        </w:rPr>
        <w:lastRenderedPageBreak/>
        <w:t>Issue Management Process</w:t>
      </w:r>
    </w:p>
    <w:p w:rsidR="00A070C2" w:rsidRDefault="00A070C2" w:rsidP="00A844E3">
      <w:r>
        <w:t xml:space="preserve">Conceptually, issues will be solicited by the Issues Management Working Group </w:t>
      </w:r>
      <w:r w:rsidR="00AB22D1">
        <w:t xml:space="preserve">(IMWG) </w:t>
      </w:r>
      <w:r>
        <w:t xml:space="preserve">from a variety of sources.  These would include GHRAC members, CLI staff, regional HRACs, or external stakeholders such as academics, regulators, etc.  On a quarterly basis, the </w:t>
      </w:r>
      <w:r w:rsidR="00AB22D1">
        <w:t xml:space="preserve">IMWG </w:t>
      </w:r>
      <w:r>
        <w:t xml:space="preserve">will </w:t>
      </w:r>
      <w:r w:rsidR="00C202AD">
        <w:t>compile</w:t>
      </w:r>
      <w:r>
        <w:t xml:space="preserve"> inputs</w:t>
      </w:r>
      <w:r w:rsidR="00C202AD">
        <w:t>, look for overlap</w:t>
      </w:r>
      <w:r w:rsidR="00AB22D1">
        <w:t xml:space="preserve"> between issues</w:t>
      </w:r>
      <w:r w:rsidR="00C202AD">
        <w:t xml:space="preserve">, and in some cases seek clarification of the issue from the submitter. </w:t>
      </w:r>
      <w:r w:rsidR="00DC52BA">
        <w:t xml:space="preserve"> Another source of input would be from within the </w:t>
      </w:r>
      <w:r w:rsidR="00AB22D1">
        <w:t>IMWG</w:t>
      </w:r>
      <w:r w:rsidR="00DC52BA">
        <w:t xml:space="preserve"> as a result of brainstorming exercises to proactively identify future issues. </w:t>
      </w:r>
      <w:r w:rsidR="00C202AD">
        <w:t xml:space="preserve"> The </w:t>
      </w:r>
      <w:r w:rsidR="00AB22D1">
        <w:t>IMWG</w:t>
      </w:r>
      <w:r w:rsidR="00C202AD">
        <w:t xml:space="preserve"> will then evaluate issues against a set of criteria.  Possible criteria might include:</w:t>
      </w:r>
    </w:p>
    <w:p w:rsidR="00C202AD" w:rsidRDefault="00C202AD" w:rsidP="00C202AD">
      <w:pPr>
        <w:pStyle w:val="ListParagraph"/>
        <w:numPr>
          <w:ilvl w:val="0"/>
          <w:numId w:val="3"/>
        </w:numPr>
      </w:pPr>
      <w:r>
        <w:t>Relevance to herbicide resistance</w:t>
      </w:r>
    </w:p>
    <w:p w:rsidR="00C202AD" w:rsidRDefault="00C202AD" w:rsidP="00C202AD">
      <w:pPr>
        <w:pStyle w:val="ListParagraph"/>
        <w:numPr>
          <w:ilvl w:val="0"/>
          <w:numId w:val="3"/>
        </w:numPr>
      </w:pPr>
      <w:r>
        <w:t>Urgency</w:t>
      </w:r>
    </w:p>
    <w:p w:rsidR="00C202AD" w:rsidRDefault="00C202AD" w:rsidP="00C202AD">
      <w:pPr>
        <w:pStyle w:val="ListParagraph"/>
        <w:numPr>
          <w:ilvl w:val="0"/>
          <w:numId w:val="3"/>
        </w:numPr>
      </w:pPr>
      <w:r>
        <w:t>Scope (local or global) and potential impact</w:t>
      </w:r>
    </w:p>
    <w:p w:rsidR="00C202AD" w:rsidRDefault="00C202AD" w:rsidP="00C202AD">
      <w:pPr>
        <w:pStyle w:val="ListParagraph"/>
        <w:numPr>
          <w:ilvl w:val="0"/>
          <w:numId w:val="3"/>
        </w:numPr>
      </w:pPr>
      <w:r>
        <w:t>Is the issue actionable?</w:t>
      </w:r>
      <w:r w:rsidR="00577223">
        <w:t xml:space="preserve">  If so, resource and time requirements to address</w:t>
      </w:r>
    </w:p>
    <w:p w:rsidR="00C202AD" w:rsidRDefault="00C202AD" w:rsidP="00C202AD">
      <w:pPr>
        <w:pStyle w:val="ListParagraph"/>
        <w:numPr>
          <w:ilvl w:val="0"/>
          <w:numId w:val="3"/>
        </w:numPr>
      </w:pPr>
      <w:r>
        <w:t>Purely technical or more policy related?</w:t>
      </w:r>
    </w:p>
    <w:p w:rsidR="00C202AD" w:rsidRDefault="00C202AD" w:rsidP="00C202AD">
      <w:pPr>
        <w:pStyle w:val="ListParagraph"/>
        <w:numPr>
          <w:ilvl w:val="0"/>
          <w:numId w:val="3"/>
        </w:numPr>
      </w:pPr>
      <w:r>
        <w:t>Possible actions (white paper, journal article, new research, leverage of current resources, etc.)</w:t>
      </w:r>
    </w:p>
    <w:p w:rsidR="00C202AD" w:rsidRDefault="00C202AD" w:rsidP="00C202AD">
      <w:r>
        <w:t xml:space="preserve">A review of </w:t>
      </w:r>
      <w:r w:rsidR="00577223">
        <w:t xml:space="preserve">prioritized </w:t>
      </w:r>
      <w:r>
        <w:t xml:space="preserve">issues and Working Group recommendations would be submitted to the GHRAC committee for approval or further input.  Upon approval, the </w:t>
      </w:r>
      <w:r w:rsidR="00AB22D1">
        <w:t>IMWG</w:t>
      </w:r>
      <w:r>
        <w:t xml:space="preserve"> would </w:t>
      </w:r>
      <w:r w:rsidR="00AB22D1">
        <w:t xml:space="preserve">then bring this up to the CLI Stewardship Committee for discussion to ensure that our initiative does not conflict with current or future CLI initiatives.   Following this step, the IMWG would then </w:t>
      </w:r>
      <w:r>
        <w:t xml:space="preserve">devise </w:t>
      </w:r>
      <w:r w:rsidR="00577223">
        <w:t xml:space="preserve">plans, timelines, and resourcing (based mainly on original recommendations).  The Working Group would oversee implementation and provide regular updates to the GHRAC committee.  </w:t>
      </w:r>
      <w:r w:rsidR="00DC52BA">
        <w:t>Final work products would be communicated back to relevant stakeholders and possibly posted on the HRAC website to be leveraged further.</w:t>
      </w:r>
    </w:p>
    <w:p w:rsidR="00AB22D1" w:rsidRDefault="00AB22D1" w:rsidP="00C202AD">
      <w:r>
        <w:t>In some cases there may be overlapping interests with known</w:t>
      </w:r>
      <w:r w:rsidR="000A2701">
        <w:t xml:space="preserve"> or unknown</w:t>
      </w:r>
      <w:r>
        <w:t xml:space="preserve"> initiatives from other organizations (</w:t>
      </w:r>
      <w:r w:rsidRPr="00343D07">
        <w:rPr>
          <w:i/>
        </w:rPr>
        <w:t>e.g</w:t>
      </w:r>
      <w:r w:rsidRPr="00343D07">
        <w:t xml:space="preserve">., </w:t>
      </w:r>
      <w:r>
        <w:t xml:space="preserve">WSSA, ASA EWSS, etc.).  If this is evident, the potential for a cooperative approach and leveraging resources may be explored, if it is judged that it would help to increase the capability to reach the desired goals of the particular issue management plan and would not limit our own space in dealing with something we have decided is important to us.  This will be done within the IMWG and then communicated to the membership for a decision.  </w:t>
      </w:r>
    </w:p>
    <w:p w:rsidR="00C41480" w:rsidRDefault="00C41480"/>
    <w:p w:rsidR="000A2701" w:rsidRDefault="00AB22D1">
      <w:r>
        <w:rPr>
          <w:noProof/>
        </w:rPr>
        <w:lastRenderedPageBreak/>
        <mc:AlternateContent>
          <mc:Choice Requires="wps">
            <w:drawing>
              <wp:anchor distT="0" distB="0" distL="114300" distR="114300" simplePos="0" relativeHeight="251662336" behindDoc="0" locked="0" layoutInCell="1" allowOverlap="1" wp14:anchorId="3DAAD24D" wp14:editId="5D52AB7D">
                <wp:simplePos x="0" y="0"/>
                <wp:positionH relativeFrom="column">
                  <wp:posOffset>2553970</wp:posOffset>
                </wp:positionH>
                <wp:positionV relativeFrom="paragraph">
                  <wp:posOffset>72027</wp:posOffset>
                </wp:positionV>
                <wp:extent cx="0" cy="261257"/>
                <wp:effectExtent l="95250" t="0" r="57150" b="62865"/>
                <wp:wrapNone/>
                <wp:docPr id="4" name="Straight Arrow Connector 4"/>
                <wp:cNvGraphicFramePr/>
                <a:graphic xmlns:a="http://schemas.openxmlformats.org/drawingml/2006/main">
                  <a:graphicData uri="http://schemas.microsoft.com/office/word/2010/wordprocessingShape">
                    <wps:wsp>
                      <wps:cNvCnPr/>
                      <wps:spPr>
                        <a:xfrm>
                          <a:off x="0" y="0"/>
                          <a:ext cx="0" cy="261257"/>
                        </a:xfrm>
                        <a:prstGeom prst="straightConnector1">
                          <a:avLst/>
                        </a:prstGeom>
                        <a:ln w="1905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01.1pt;margin-top:5.65pt;width:0;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" strokecolor="#c00000" strokeweight="1.5pt">
                <v:stroke endarrow="open" joinstyle="miter"/>
              </v:shape>
            </w:pict>
          </mc:Fallback>
        </mc:AlternateContent>
      </w:r>
      <w:r>
        <w:rPr>
          <w:noProof/>
        </w:rPr>
        <mc:AlternateContent>
          <mc:Choice Requires="wps">
            <w:drawing>
              <wp:anchor distT="0" distB="0" distL="114300" distR="114300" simplePos="0" relativeHeight="251660288" behindDoc="0" locked="0" layoutInCell="1" allowOverlap="1" wp14:anchorId="09BAC294" wp14:editId="5CC76A60">
                <wp:simplePos x="0" y="0"/>
                <wp:positionH relativeFrom="column">
                  <wp:posOffset>2387600</wp:posOffset>
                </wp:positionH>
                <wp:positionV relativeFrom="paragraph">
                  <wp:posOffset>57966</wp:posOffset>
                </wp:positionV>
                <wp:extent cx="7257" cy="246834"/>
                <wp:effectExtent l="76200" t="38100" r="69215" b="20320"/>
                <wp:wrapNone/>
                <wp:docPr id="2" name="Straight Arrow Connector 2"/>
                <wp:cNvGraphicFramePr/>
                <a:graphic xmlns:a="http://schemas.openxmlformats.org/drawingml/2006/main">
                  <a:graphicData uri="http://schemas.microsoft.com/office/word/2010/wordprocessingShape">
                    <wps:wsp>
                      <wps:cNvCnPr/>
                      <wps:spPr>
                        <a:xfrm flipV="1">
                          <a:off x="0" y="0"/>
                          <a:ext cx="7257" cy="246834"/>
                        </a:xfrm>
                        <a:prstGeom prst="straightConnector1">
                          <a:avLst/>
                        </a:prstGeom>
                        <a:ln w="1905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type="#_x0000_t32" style="position:absolute;margin-left:188pt;margin-top:4.55pt;width:.55pt;height:19.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" strokecolor="#c00000" strokeweight="1.5pt">
                <v:stroke endarrow="open" joinstyle="miter"/>
              </v:shape>
            </w:pict>
          </mc:Fallback>
        </mc:AlternateContent>
      </w:r>
      <w:r>
        <w:rPr>
          <w:noProof/>
        </w:rPr>
        <mc:AlternateContent>
          <mc:Choice Requires="wps">
            <w:drawing>
              <wp:anchor distT="0" distB="0" distL="114300" distR="114300" simplePos="0" relativeHeight="251659264" behindDoc="0" locked="0" layoutInCell="1" allowOverlap="1" wp14:anchorId="0BC1C082" wp14:editId="2302F081">
                <wp:simplePos x="0" y="0"/>
                <wp:positionH relativeFrom="column">
                  <wp:posOffset>1843315</wp:posOffset>
                </wp:positionH>
                <wp:positionV relativeFrom="paragraph">
                  <wp:posOffset>-587829</wp:posOffset>
                </wp:positionV>
                <wp:extent cx="1371600" cy="645886"/>
                <wp:effectExtent l="0" t="0" r="19050" b="20955"/>
                <wp:wrapNone/>
                <wp:docPr id="1" name="Rounded Rectangle 1"/>
                <wp:cNvGraphicFramePr/>
                <a:graphic xmlns:a="http://schemas.openxmlformats.org/drawingml/2006/main">
                  <a:graphicData uri="http://schemas.microsoft.com/office/word/2010/wordprocessingShape">
                    <wps:wsp>
                      <wps:cNvSpPr/>
                      <wps:spPr>
                        <a:xfrm>
                          <a:off x="0" y="0"/>
                          <a:ext cx="1371600" cy="645886"/>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rsidR="00AB22D1" w:rsidRPr="000A2701" w:rsidRDefault="00AB22D1" w:rsidP="00AB22D1">
                            <w:pPr>
                              <w:jc w:val="center"/>
                            </w:pPr>
                            <w:r w:rsidRPr="000A2701">
                              <w:t>CLI Stewardship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145.15pt;margin-top:-46.3pt;width:108pt;height: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" fillcolor="#5b9bd5 [3204]" strokecolor="#1f4d78 [1604]" strokeweight="1pt">
                <v:stroke joinstyle="miter"/>
                <v:textbox>
                  <w:txbxContent>
                    <w:p w:rsidR="00AB22D1" w:rsidRPr="000A2701" w:rsidRDefault="00AB22D1" w:rsidP="00AB22D1">
                      <w:pPr>
                        <w:jc w:val="center"/>
                      </w:pPr>
                      <w:r w:rsidRPr="000A2701">
                        <w:t>CLI Stewardship Committee</w:t>
                      </w:r>
                    </w:p>
                  </w:txbxContent>
                </v:textbox>
              </v:roundrect>
            </w:pict>
          </mc:Fallback>
        </mc:AlternateContent>
      </w:r>
      <w:r w:rsidR="00DC52BA">
        <w:rPr>
          <w:noProof/>
        </w:rPr>
        <w:drawing>
          <wp:inline distT="0" distB="0" distL="0" distR="0">
            <wp:extent cx="5943600" cy="3225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sues Mgmt Proces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225165"/>
                    </a:xfrm>
                    <a:prstGeom prst="rect">
                      <a:avLst/>
                    </a:prstGeom>
                  </pic:spPr>
                </pic:pic>
              </a:graphicData>
            </a:graphic>
          </wp:inline>
        </w:drawing>
      </w:r>
    </w:p>
    <w:p w:rsidR="000A2701" w:rsidRDefault="000A2701">
      <w:r>
        <w:br w:type="page"/>
      </w:r>
      <w:bookmarkStart w:id="0" w:name="_GoBack"/>
      <w:bookmarkEnd w:id="0"/>
    </w:p>
    <w:p w:rsidR="00C41480" w:rsidRPr="000A2701" w:rsidRDefault="000A2701">
      <w:pPr>
        <w:rPr>
          <w:u w:val="single"/>
        </w:rPr>
      </w:pPr>
      <w:r w:rsidRPr="000A2701">
        <w:rPr>
          <w:u w:val="single"/>
        </w:rPr>
        <w:t>CLI Workshop Notes</w:t>
      </w:r>
    </w:p>
    <w:p w:rsidR="000A2701" w:rsidRPr="00983679" w:rsidRDefault="000A2701" w:rsidP="000A2701">
      <w:pPr>
        <w:pStyle w:val="ListParagraph"/>
        <w:numPr>
          <w:ilvl w:val="0"/>
          <w:numId w:val="4"/>
        </w:numPr>
        <w:spacing w:after="200" w:line="276" w:lineRule="auto"/>
        <w:ind w:left="284" w:hanging="284"/>
      </w:pPr>
      <w:r>
        <w:t>Understanding / awareness between areas and:</w:t>
      </w:r>
    </w:p>
    <w:p w:rsidR="000A2701" w:rsidRPr="00983679" w:rsidRDefault="000A2701" w:rsidP="000A2701">
      <w:pPr>
        <w:pStyle w:val="ListParagraph"/>
        <w:numPr>
          <w:ilvl w:val="1"/>
          <w:numId w:val="4"/>
        </w:numPr>
        <w:spacing w:after="200" w:line="276" w:lineRule="auto"/>
        <w:ind w:left="567" w:hanging="283"/>
      </w:pPr>
      <w:r>
        <w:t>other RACs</w:t>
      </w:r>
    </w:p>
    <w:p w:rsidR="000A2701" w:rsidRDefault="000A2701" w:rsidP="000A2701">
      <w:pPr>
        <w:pStyle w:val="ListParagraph"/>
        <w:numPr>
          <w:ilvl w:val="1"/>
          <w:numId w:val="4"/>
        </w:numPr>
        <w:spacing w:after="200" w:line="276" w:lineRule="auto"/>
        <w:ind w:left="567" w:hanging="283"/>
      </w:pPr>
      <w:r>
        <w:t>local organizations</w:t>
      </w:r>
    </w:p>
    <w:p w:rsidR="000A2701" w:rsidRDefault="000A2701" w:rsidP="000A2701">
      <w:pPr>
        <w:pStyle w:val="ListParagraph"/>
        <w:numPr>
          <w:ilvl w:val="1"/>
          <w:numId w:val="4"/>
        </w:numPr>
        <w:spacing w:after="200" w:line="276" w:lineRule="auto"/>
        <w:ind w:left="567" w:hanging="283"/>
      </w:pPr>
      <w:r>
        <w:t>regulators</w:t>
      </w:r>
    </w:p>
    <w:p w:rsidR="000A2701" w:rsidRPr="00983679" w:rsidRDefault="000A2701" w:rsidP="000A2701">
      <w:pPr>
        <w:pStyle w:val="ListParagraph"/>
        <w:numPr>
          <w:ilvl w:val="0"/>
          <w:numId w:val="4"/>
        </w:numPr>
        <w:spacing w:after="200" w:line="276" w:lineRule="auto"/>
        <w:ind w:left="284" w:hanging="284"/>
      </w:pPr>
      <w:r>
        <w:t>Set up working groups on:</w:t>
      </w:r>
    </w:p>
    <w:p w:rsidR="000A2701" w:rsidRPr="00983679" w:rsidRDefault="000A2701" w:rsidP="000A2701">
      <w:pPr>
        <w:pStyle w:val="ListParagraph"/>
        <w:numPr>
          <w:ilvl w:val="1"/>
          <w:numId w:val="4"/>
        </w:numPr>
        <w:spacing w:after="200" w:line="276" w:lineRule="auto"/>
        <w:ind w:left="567" w:hanging="283"/>
      </w:pPr>
      <w:r>
        <w:t>specific issues</w:t>
      </w:r>
    </w:p>
    <w:p w:rsidR="000A2701" w:rsidRDefault="000A2701" w:rsidP="000A2701">
      <w:pPr>
        <w:pStyle w:val="ListParagraph"/>
        <w:numPr>
          <w:ilvl w:val="1"/>
          <w:numId w:val="4"/>
        </w:numPr>
        <w:spacing w:after="200" w:line="276" w:lineRule="auto"/>
        <w:ind w:left="567" w:hanging="283"/>
      </w:pPr>
      <w:r>
        <w:t>(possibly) issue papers</w:t>
      </w:r>
    </w:p>
    <w:p w:rsidR="000A2701" w:rsidRDefault="000A2701" w:rsidP="000A2701">
      <w:pPr>
        <w:pStyle w:val="ListParagraph"/>
        <w:numPr>
          <w:ilvl w:val="0"/>
          <w:numId w:val="4"/>
        </w:numPr>
        <w:spacing w:after="200" w:line="276" w:lineRule="auto"/>
        <w:ind w:left="284" w:hanging="284"/>
      </w:pPr>
      <w:r>
        <w:t>Commitment and organizational tools to provide rapid responses</w:t>
      </w:r>
    </w:p>
    <w:p w:rsidR="000A2701" w:rsidRDefault="000A2701" w:rsidP="000A2701">
      <w:pPr>
        <w:pStyle w:val="ListParagraph"/>
        <w:numPr>
          <w:ilvl w:val="0"/>
          <w:numId w:val="4"/>
        </w:numPr>
        <w:spacing w:after="200" w:line="276" w:lineRule="auto"/>
        <w:ind w:left="284" w:hanging="284"/>
      </w:pPr>
      <w:r>
        <w:t>Visibility of Global HRAC actions and successes</w:t>
      </w:r>
    </w:p>
    <w:p w:rsidR="000A2701" w:rsidRDefault="000A2701" w:rsidP="000A2701">
      <w:pPr>
        <w:pStyle w:val="ListParagraph"/>
        <w:numPr>
          <w:ilvl w:val="0"/>
          <w:numId w:val="4"/>
        </w:numPr>
        <w:spacing w:after="200" w:line="276" w:lineRule="auto"/>
        <w:ind w:left="284" w:hanging="284"/>
      </w:pPr>
      <w:r>
        <w:t>Global HRAC is the focal contact point for guidance</w:t>
      </w:r>
    </w:p>
    <w:tbl>
      <w:tblPr>
        <w:tblStyle w:val="TableGrid"/>
        <w:tblW w:w="0" w:type="auto"/>
        <w:tblLook w:val="04A0" w:firstRow="1" w:lastRow="0" w:firstColumn="1" w:lastColumn="0" w:noHBand="0" w:noVBand="1"/>
      </w:tblPr>
      <w:tblGrid>
        <w:gridCol w:w="3096"/>
        <w:gridCol w:w="3096"/>
        <w:gridCol w:w="3096"/>
      </w:tblGrid>
      <w:tr w:rsidR="000A2701" w:rsidRPr="000A2701" w:rsidTr="00E541DA">
        <w:tc>
          <w:tcPr>
            <w:tcW w:w="9288" w:type="dxa"/>
            <w:gridSpan w:val="3"/>
          </w:tcPr>
          <w:p w:rsidR="000A2701" w:rsidRPr="000A2701" w:rsidRDefault="000A2701" w:rsidP="00E541DA">
            <w:pPr>
              <w:keepNext/>
              <w:keepLines/>
              <w:rPr>
                <w:b/>
                <w:lang w:val="en-US"/>
              </w:rPr>
            </w:pPr>
            <w:r w:rsidRPr="000A2701">
              <w:rPr>
                <w:b/>
                <w:lang w:val="en-US"/>
              </w:rPr>
              <w:t>Notes</w:t>
            </w:r>
          </w:p>
        </w:tc>
      </w:tr>
      <w:tr w:rsidR="000A2701" w:rsidRPr="000A2701" w:rsidTr="00E541DA">
        <w:tc>
          <w:tcPr>
            <w:tcW w:w="3096" w:type="dxa"/>
          </w:tcPr>
          <w:p w:rsidR="000A2701" w:rsidRPr="000A2701" w:rsidRDefault="000A2701" w:rsidP="00E541DA">
            <w:pPr>
              <w:keepNext/>
              <w:keepLines/>
              <w:rPr>
                <w:lang w:val="en-US"/>
              </w:rPr>
            </w:pPr>
            <w:r w:rsidRPr="000A2701">
              <w:rPr>
                <w:lang w:val="en-US"/>
              </w:rPr>
              <w:t>awareness across countries</w:t>
            </w:r>
          </w:p>
        </w:tc>
        <w:tc>
          <w:tcPr>
            <w:tcW w:w="3096" w:type="dxa"/>
          </w:tcPr>
          <w:p w:rsidR="000A2701" w:rsidRPr="000A2701" w:rsidRDefault="000A2701" w:rsidP="00E541DA">
            <w:pPr>
              <w:keepNext/>
              <w:keepLines/>
              <w:rPr>
                <w:lang w:val="en-US"/>
              </w:rPr>
            </w:pPr>
            <w:r w:rsidRPr="000A2701">
              <w:rPr>
                <w:lang w:val="en-US"/>
              </w:rPr>
              <w:t>have established good understanding between joint areas of cooperation with other RACs</w:t>
            </w:r>
          </w:p>
        </w:tc>
        <w:tc>
          <w:tcPr>
            <w:tcW w:w="3096" w:type="dxa"/>
          </w:tcPr>
          <w:p w:rsidR="000A2701" w:rsidRPr="000A2701" w:rsidRDefault="000A2701" w:rsidP="00E541DA">
            <w:pPr>
              <w:keepNext/>
              <w:keepLines/>
              <w:rPr>
                <w:lang w:val="en-US"/>
              </w:rPr>
            </w:pPr>
            <w:r w:rsidRPr="000A2701">
              <w:rPr>
                <w:lang w:val="en-US"/>
              </w:rPr>
              <w:t>other RACs are promoting our positions on selected issues to regulators</w:t>
            </w:r>
          </w:p>
        </w:tc>
      </w:tr>
      <w:tr w:rsidR="000A2701" w:rsidRPr="000A2701" w:rsidTr="00E541DA">
        <w:tc>
          <w:tcPr>
            <w:tcW w:w="3096" w:type="dxa"/>
          </w:tcPr>
          <w:p w:rsidR="000A2701" w:rsidRPr="000A2701" w:rsidRDefault="000A2701" w:rsidP="00E541DA">
            <w:pPr>
              <w:keepNext/>
              <w:keepLines/>
              <w:ind w:left="66"/>
              <w:rPr>
                <w:lang w:val="en-US"/>
              </w:rPr>
            </w:pPr>
            <w:r w:rsidRPr="000A2701">
              <w:rPr>
                <w:lang w:val="en-US"/>
              </w:rPr>
              <w:t>enable regional transportability of lessons learned</w:t>
            </w:r>
          </w:p>
        </w:tc>
        <w:tc>
          <w:tcPr>
            <w:tcW w:w="3096" w:type="dxa"/>
          </w:tcPr>
          <w:p w:rsidR="000A2701" w:rsidRPr="000A2701" w:rsidRDefault="000A2701" w:rsidP="00E541DA">
            <w:pPr>
              <w:keepNext/>
              <w:keepLines/>
              <w:rPr>
                <w:lang w:val="en-US"/>
              </w:rPr>
            </w:pPr>
            <w:r w:rsidRPr="000A2701">
              <w:rPr>
                <w:lang w:val="en-US"/>
              </w:rPr>
              <w:t>A set of issue papers to address prioritized projects</w:t>
            </w:r>
          </w:p>
        </w:tc>
        <w:tc>
          <w:tcPr>
            <w:tcW w:w="3096" w:type="dxa"/>
          </w:tcPr>
          <w:p w:rsidR="000A2701" w:rsidRPr="000A2701" w:rsidRDefault="000A2701" w:rsidP="00E541DA">
            <w:pPr>
              <w:keepNext/>
              <w:keepLines/>
              <w:rPr>
                <w:lang w:val="en-US"/>
              </w:rPr>
            </w:pPr>
            <w:r w:rsidRPr="000A2701">
              <w:rPr>
                <w:lang w:val="en-US"/>
              </w:rPr>
              <w:t>set up working groups on specific issues</w:t>
            </w:r>
          </w:p>
        </w:tc>
      </w:tr>
      <w:tr w:rsidR="000A2701" w:rsidRPr="000A2701" w:rsidTr="00E541DA">
        <w:tc>
          <w:tcPr>
            <w:tcW w:w="3096" w:type="dxa"/>
          </w:tcPr>
          <w:p w:rsidR="000A2701" w:rsidRPr="000A2701" w:rsidRDefault="000A2701" w:rsidP="00E541DA">
            <w:pPr>
              <w:keepNext/>
              <w:keepLines/>
              <w:ind w:left="66"/>
              <w:rPr>
                <w:lang w:val="en-US"/>
              </w:rPr>
            </w:pPr>
            <w:r w:rsidRPr="000A2701">
              <w:rPr>
                <w:lang w:val="en-US"/>
              </w:rPr>
              <w:t>set up issues management team to be proactive on issues related to weed herbicide resistance</w:t>
            </w:r>
          </w:p>
        </w:tc>
        <w:tc>
          <w:tcPr>
            <w:tcW w:w="3096" w:type="dxa"/>
          </w:tcPr>
          <w:p w:rsidR="000A2701" w:rsidRPr="000A2701" w:rsidRDefault="000A2701" w:rsidP="00E541DA">
            <w:pPr>
              <w:keepNext/>
              <w:keepLines/>
              <w:rPr>
                <w:lang w:val="en-US"/>
              </w:rPr>
            </w:pPr>
            <w:r w:rsidRPr="000A2701">
              <w:rPr>
                <w:lang w:val="en-US"/>
              </w:rPr>
              <w:t>task force gathering intelligence on global issues and offering talking points and guidance</w:t>
            </w:r>
          </w:p>
        </w:tc>
        <w:tc>
          <w:tcPr>
            <w:tcW w:w="3096" w:type="dxa"/>
          </w:tcPr>
          <w:p w:rsidR="000A2701" w:rsidRPr="000A2701" w:rsidRDefault="000A2701" w:rsidP="00E541DA">
            <w:pPr>
              <w:keepNext/>
              <w:keepLines/>
              <w:rPr>
                <w:lang w:val="en-US"/>
              </w:rPr>
            </w:pPr>
            <w:r w:rsidRPr="000A2701">
              <w:rPr>
                <w:lang w:val="en-US"/>
              </w:rPr>
              <w:t>have an efficient system in place to be able to respond [in a] timely [manner] (and ensure [consideration of HRAC viewpoint])</w:t>
            </w:r>
          </w:p>
        </w:tc>
      </w:tr>
      <w:tr w:rsidR="000A2701" w:rsidRPr="000A2701" w:rsidTr="00E541DA">
        <w:tc>
          <w:tcPr>
            <w:tcW w:w="3096" w:type="dxa"/>
          </w:tcPr>
          <w:p w:rsidR="000A2701" w:rsidRPr="000A2701" w:rsidRDefault="000A2701" w:rsidP="00E541DA">
            <w:pPr>
              <w:keepNext/>
              <w:keepLines/>
              <w:rPr>
                <w:lang w:val="en-US"/>
              </w:rPr>
            </w:pPr>
            <w:r w:rsidRPr="000A2701">
              <w:rPr>
                <w:lang w:val="en-US"/>
              </w:rPr>
              <w:t>facilitate issues management globally</w:t>
            </w:r>
          </w:p>
        </w:tc>
        <w:tc>
          <w:tcPr>
            <w:tcW w:w="3096" w:type="dxa"/>
          </w:tcPr>
          <w:p w:rsidR="000A2701" w:rsidRPr="000A2701" w:rsidRDefault="000A2701" w:rsidP="00E541DA">
            <w:pPr>
              <w:keepNext/>
              <w:keepLines/>
              <w:rPr>
                <w:lang w:val="en-US"/>
              </w:rPr>
            </w:pPr>
            <w:r w:rsidRPr="000A2701">
              <w:rPr>
                <w:lang w:val="en-US"/>
              </w:rPr>
              <w:t>[achieve] alignment of industry</w:t>
            </w:r>
          </w:p>
          <w:p w:rsidR="000A2701" w:rsidRPr="000A2701" w:rsidRDefault="000A2701" w:rsidP="000A2701">
            <w:pPr>
              <w:pStyle w:val="ListParagraph"/>
              <w:keepNext/>
              <w:keepLines/>
              <w:numPr>
                <w:ilvl w:val="0"/>
                <w:numId w:val="5"/>
              </w:numPr>
              <w:ind w:left="284" w:hanging="218"/>
              <w:rPr>
                <w:lang w:val="en-US"/>
              </w:rPr>
            </w:pPr>
            <w:r w:rsidRPr="000A2701">
              <w:rPr>
                <w:lang w:val="en-US"/>
              </w:rPr>
              <w:t xml:space="preserve">[currently] reactive not proactive </w:t>
            </w:r>
          </w:p>
        </w:tc>
        <w:tc>
          <w:tcPr>
            <w:tcW w:w="3096" w:type="dxa"/>
          </w:tcPr>
          <w:p w:rsidR="000A2701" w:rsidRPr="000A2701" w:rsidRDefault="000A2701" w:rsidP="00E541DA">
            <w:pPr>
              <w:keepNext/>
              <w:keepLines/>
              <w:rPr>
                <w:lang w:val="en-US"/>
              </w:rPr>
            </w:pPr>
            <w:r w:rsidRPr="000A2701">
              <w:rPr>
                <w:lang w:val="en-US"/>
              </w:rPr>
              <w:t>industry has the capability to respond rapidly (it doesn’t necessarily have to be Global HRAC members, it could be locally [designated] people</w:t>
            </w:r>
          </w:p>
        </w:tc>
      </w:tr>
      <w:tr w:rsidR="000A2701" w:rsidRPr="000A2701" w:rsidTr="00E541DA">
        <w:tc>
          <w:tcPr>
            <w:tcW w:w="3096" w:type="dxa"/>
          </w:tcPr>
          <w:p w:rsidR="000A2701" w:rsidRPr="000A2701" w:rsidRDefault="000A2701" w:rsidP="00E541DA">
            <w:pPr>
              <w:keepNext/>
              <w:keepLines/>
              <w:rPr>
                <w:lang w:val="en-US"/>
              </w:rPr>
            </w:pPr>
            <w:r w:rsidRPr="000A2701">
              <w:rPr>
                <w:lang w:val="en-US"/>
              </w:rPr>
              <w:t>read about an HRAC story in a trade publication</w:t>
            </w:r>
          </w:p>
        </w:tc>
        <w:tc>
          <w:tcPr>
            <w:tcW w:w="3096" w:type="dxa"/>
          </w:tcPr>
          <w:p w:rsidR="000A2701" w:rsidRPr="000A2701" w:rsidRDefault="000A2701" w:rsidP="00E541DA">
            <w:pPr>
              <w:keepNext/>
              <w:keepLines/>
              <w:ind w:left="66"/>
              <w:rPr>
                <w:lang w:val="en-US"/>
              </w:rPr>
            </w:pPr>
          </w:p>
        </w:tc>
        <w:tc>
          <w:tcPr>
            <w:tcW w:w="3096" w:type="dxa"/>
          </w:tcPr>
          <w:p w:rsidR="000A2701" w:rsidRPr="000A2701" w:rsidRDefault="000A2701" w:rsidP="00E541DA">
            <w:pPr>
              <w:keepNext/>
              <w:keepLines/>
              <w:ind w:left="66"/>
              <w:rPr>
                <w:lang w:val="en-US"/>
              </w:rPr>
            </w:pPr>
          </w:p>
        </w:tc>
      </w:tr>
    </w:tbl>
    <w:p w:rsidR="000A2701" w:rsidRDefault="000A2701"/>
    <w:sectPr w:rsidR="000A2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3B80"/>
    <w:multiLevelType w:val="hybridMultilevel"/>
    <w:tmpl w:val="9F84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83880"/>
    <w:multiLevelType w:val="hybridMultilevel"/>
    <w:tmpl w:val="83C6B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A2366"/>
    <w:multiLevelType w:val="hybridMultilevel"/>
    <w:tmpl w:val="56EC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081207"/>
    <w:multiLevelType w:val="hybridMultilevel"/>
    <w:tmpl w:val="9C44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7030BE"/>
    <w:multiLevelType w:val="hybridMultilevel"/>
    <w:tmpl w:val="313C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E3"/>
    <w:rsid w:val="000A2701"/>
    <w:rsid w:val="001165C5"/>
    <w:rsid w:val="001218C2"/>
    <w:rsid w:val="00145C11"/>
    <w:rsid w:val="00170A7C"/>
    <w:rsid w:val="00200CF1"/>
    <w:rsid w:val="002F3DD9"/>
    <w:rsid w:val="002F70EF"/>
    <w:rsid w:val="00317554"/>
    <w:rsid w:val="00357F96"/>
    <w:rsid w:val="00426992"/>
    <w:rsid w:val="00577223"/>
    <w:rsid w:val="006D5FD6"/>
    <w:rsid w:val="00833D81"/>
    <w:rsid w:val="008652E2"/>
    <w:rsid w:val="00871E47"/>
    <w:rsid w:val="009948C1"/>
    <w:rsid w:val="009D59F9"/>
    <w:rsid w:val="009E65EC"/>
    <w:rsid w:val="00A070C2"/>
    <w:rsid w:val="00A844E3"/>
    <w:rsid w:val="00AB22D1"/>
    <w:rsid w:val="00AC34AC"/>
    <w:rsid w:val="00C137E1"/>
    <w:rsid w:val="00C202AD"/>
    <w:rsid w:val="00C41480"/>
    <w:rsid w:val="00CA3DB0"/>
    <w:rsid w:val="00CD2835"/>
    <w:rsid w:val="00D73835"/>
    <w:rsid w:val="00DC52BA"/>
    <w:rsid w:val="00DD7546"/>
    <w:rsid w:val="00E3227F"/>
    <w:rsid w:val="00ED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4E3"/>
    <w:pPr>
      <w:ind w:left="720"/>
      <w:contextualSpacing/>
    </w:pPr>
  </w:style>
  <w:style w:type="paragraph" w:styleId="BalloonText">
    <w:name w:val="Balloon Text"/>
    <w:basedOn w:val="Normal"/>
    <w:link w:val="BalloonTextChar"/>
    <w:uiPriority w:val="99"/>
    <w:semiHidden/>
    <w:unhideWhenUsed/>
    <w:rsid w:val="00AB2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2D1"/>
    <w:rPr>
      <w:rFonts w:ascii="Tahoma" w:hAnsi="Tahoma" w:cs="Tahoma"/>
      <w:sz w:val="16"/>
      <w:szCs w:val="16"/>
    </w:rPr>
  </w:style>
  <w:style w:type="character" w:styleId="CommentReference">
    <w:name w:val="annotation reference"/>
    <w:basedOn w:val="DefaultParagraphFont"/>
    <w:uiPriority w:val="99"/>
    <w:semiHidden/>
    <w:unhideWhenUsed/>
    <w:rsid w:val="00AB22D1"/>
    <w:rPr>
      <w:sz w:val="16"/>
      <w:szCs w:val="16"/>
    </w:rPr>
  </w:style>
  <w:style w:type="paragraph" w:styleId="CommentText">
    <w:name w:val="annotation text"/>
    <w:basedOn w:val="Normal"/>
    <w:link w:val="CommentTextChar"/>
    <w:uiPriority w:val="99"/>
    <w:semiHidden/>
    <w:unhideWhenUsed/>
    <w:rsid w:val="00AB22D1"/>
    <w:pPr>
      <w:spacing w:line="240" w:lineRule="auto"/>
    </w:pPr>
    <w:rPr>
      <w:sz w:val="20"/>
      <w:szCs w:val="20"/>
    </w:rPr>
  </w:style>
  <w:style w:type="character" w:customStyle="1" w:styleId="CommentTextChar">
    <w:name w:val="Comment Text Char"/>
    <w:basedOn w:val="DefaultParagraphFont"/>
    <w:link w:val="CommentText"/>
    <w:uiPriority w:val="99"/>
    <w:semiHidden/>
    <w:rsid w:val="00AB22D1"/>
    <w:rPr>
      <w:sz w:val="20"/>
      <w:szCs w:val="20"/>
    </w:rPr>
  </w:style>
  <w:style w:type="paragraph" w:styleId="CommentSubject">
    <w:name w:val="annotation subject"/>
    <w:basedOn w:val="CommentText"/>
    <w:next w:val="CommentText"/>
    <w:link w:val="CommentSubjectChar"/>
    <w:uiPriority w:val="99"/>
    <w:semiHidden/>
    <w:unhideWhenUsed/>
    <w:rsid w:val="00AB22D1"/>
    <w:rPr>
      <w:b/>
      <w:bCs/>
    </w:rPr>
  </w:style>
  <w:style w:type="character" w:customStyle="1" w:styleId="CommentSubjectChar">
    <w:name w:val="Comment Subject Char"/>
    <w:basedOn w:val="CommentTextChar"/>
    <w:link w:val="CommentSubject"/>
    <w:uiPriority w:val="99"/>
    <w:semiHidden/>
    <w:rsid w:val="00AB22D1"/>
    <w:rPr>
      <w:b/>
      <w:bCs/>
      <w:sz w:val="20"/>
      <w:szCs w:val="20"/>
    </w:rPr>
  </w:style>
  <w:style w:type="table" w:styleId="TableGrid">
    <w:name w:val="Table Grid"/>
    <w:basedOn w:val="TableNormal"/>
    <w:uiPriority w:val="59"/>
    <w:rsid w:val="000A2701"/>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4E3"/>
    <w:pPr>
      <w:ind w:left="720"/>
      <w:contextualSpacing/>
    </w:pPr>
  </w:style>
  <w:style w:type="paragraph" w:styleId="BalloonText">
    <w:name w:val="Balloon Text"/>
    <w:basedOn w:val="Normal"/>
    <w:link w:val="BalloonTextChar"/>
    <w:uiPriority w:val="99"/>
    <w:semiHidden/>
    <w:unhideWhenUsed/>
    <w:rsid w:val="00AB2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2D1"/>
    <w:rPr>
      <w:rFonts w:ascii="Tahoma" w:hAnsi="Tahoma" w:cs="Tahoma"/>
      <w:sz w:val="16"/>
      <w:szCs w:val="16"/>
    </w:rPr>
  </w:style>
  <w:style w:type="character" w:styleId="CommentReference">
    <w:name w:val="annotation reference"/>
    <w:basedOn w:val="DefaultParagraphFont"/>
    <w:uiPriority w:val="99"/>
    <w:semiHidden/>
    <w:unhideWhenUsed/>
    <w:rsid w:val="00AB22D1"/>
    <w:rPr>
      <w:sz w:val="16"/>
      <w:szCs w:val="16"/>
    </w:rPr>
  </w:style>
  <w:style w:type="paragraph" w:styleId="CommentText">
    <w:name w:val="annotation text"/>
    <w:basedOn w:val="Normal"/>
    <w:link w:val="CommentTextChar"/>
    <w:uiPriority w:val="99"/>
    <w:semiHidden/>
    <w:unhideWhenUsed/>
    <w:rsid w:val="00AB22D1"/>
    <w:pPr>
      <w:spacing w:line="240" w:lineRule="auto"/>
    </w:pPr>
    <w:rPr>
      <w:sz w:val="20"/>
      <w:szCs w:val="20"/>
    </w:rPr>
  </w:style>
  <w:style w:type="character" w:customStyle="1" w:styleId="CommentTextChar">
    <w:name w:val="Comment Text Char"/>
    <w:basedOn w:val="DefaultParagraphFont"/>
    <w:link w:val="CommentText"/>
    <w:uiPriority w:val="99"/>
    <w:semiHidden/>
    <w:rsid w:val="00AB22D1"/>
    <w:rPr>
      <w:sz w:val="20"/>
      <w:szCs w:val="20"/>
    </w:rPr>
  </w:style>
  <w:style w:type="paragraph" w:styleId="CommentSubject">
    <w:name w:val="annotation subject"/>
    <w:basedOn w:val="CommentText"/>
    <w:next w:val="CommentText"/>
    <w:link w:val="CommentSubjectChar"/>
    <w:uiPriority w:val="99"/>
    <w:semiHidden/>
    <w:unhideWhenUsed/>
    <w:rsid w:val="00AB22D1"/>
    <w:rPr>
      <w:b/>
      <w:bCs/>
    </w:rPr>
  </w:style>
  <w:style w:type="character" w:customStyle="1" w:styleId="CommentSubjectChar">
    <w:name w:val="Comment Subject Char"/>
    <w:basedOn w:val="CommentTextChar"/>
    <w:link w:val="CommentSubject"/>
    <w:uiPriority w:val="99"/>
    <w:semiHidden/>
    <w:rsid w:val="00AB22D1"/>
    <w:rPr>
      <w:b/>
      <w:bCs/>
      <w:sz w:val="20"/>
      <w:szCs w:val="20"/>
    </w:rPr>
  </w:style>
  <w:style w:type="table" w:styleId="TableGrid">
    <w:name w:val="Table Grid"/>
    <w:basedOn w:val="TableNormal"/>
    <w:uiPriority w:val="59"/>
    <w:rsid w:val="000A2701"/>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610</Words>
  <Characters>3482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Mark (M)</dc:creator>
  <cp:lastModifiedBy>Harry J Strek</cp:lastModifiedBy>
  <cp:revision>2</cp:revision>
  <dcterms:created xsi:type="dcterms:W3CDTF">2016-11-11T13:49:00Z</dcterms:created>
  <dcterms:modified xsi:type="dcterms:W3CDTF">2016-11-11T13:49:00Z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u089611</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2016-10-05T17:44:59Z</vt:filetime>
  </property>
  <property fmtid="{D5CDD505-2E9C-101B-9397-08002B2CF9AE}" pid="8" name="Retention_Period_Start_Date">
    <vt:filetime>2016-10-12T15:05:33Z</vt:filetime>
  </property>
  <property fmtid="{D5CDD505-2E9C-101B-9397-08002B2CF9AE}" pid="9" name="Last_Reviewed_Date">
    <vt:lpwstr/>
  </property>
  <property fmtid="{D5CDD505-2E9C-101B-9397-08002B2CF9AE}" pid="10" name="Retention_Review_Frequency">
    <vt:lpwstr/>
  </property>
  <property fmtid="{D5CDD505-2E9C-101B-9397-08002B2CF9AE}" pid="11" name="_NewReviewCycle">
    <vt:lpwstr/>
  </property>
</Properties>
</file>