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10" w:rsidRDefault="00FF0446" w:rsidP="00954110">
      <w:pPr>
        <w:pStyle w:val="Title"/>
      </w:pPr>
      <w:r>
        <w:t>Global HRAC Conference Call</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1980"/>
        <w:gridCol w:w="2629"/>
        <w:gridCol w:w="2231"/>
        <w:gridCol w:w="3240"/>
      </w:tblGrid>
      <w:tr w:rsidR="00E43BAB" w:rsidRPr="00692553" w:rsidTr="005F58B2">
        <w:trPr>
          <w:cantSplit/>
        </w:trPr>
        <w:tc>
          <w:tcPr>
            <w:tcW w:w="1980" w:type="dxa"/>
            <w:shd w:val="clear" w:color="auto" w:fill="auto"/>
            <w:tcMar>
              <w:left w:w="0" w:type="dxa"/>
            </w:tcMar>
            <w:vAlign w:val="center"/>
          </w:tcPr>
          <w:p w:rsidR="00E43BAB" w:rsidRDefault="00E43BAB" w:rsidP="00954110">
            <w:pPr>
              <w:pStyle w:val="Heading1"/>
            </w:pPr>
            <w:r w:rsidRPr="00954110">
              <w:t>Minu</w:t>
            </w:r>
            <w:r>
              <w:t>tes</w:t>
            </w:r>
          </w:p>
        </w:tc>
        <w:sdt>
          <w:sdtPr>
            <w:alias w:val="Date"/>
            <w:tag w:val="Date"/>
            <w:id w:val="48425581"/>
            <w:placeholder>
              <w:docPart w:val="8BBBBE6616F84492AF78A8CED8D6778C"/>
            </w:placeholder>
            <w:date w:fullDate="2016-04-21T00:00:00Z">
              <w:dateFormat w:val="MMMM d, yyyy"/>
              <w:lid w:val="en-US"/>
              <w:storeMappedDataAs w:val="dateTime"/>
              <w:calendar w:val="gregorian"/>
            </w:date>
          </w:sdtPr>
          <w:sdtEndPr/>
          <w:sdtContent>
            <w:tc>
              <w:tcPr>
                <w:tcW w:w="2629" w:type="dxa"/>
                <w:shd w:val="clear" w:color="auto" w:fill="auto"/>
                <w:tcMar>
                  <w:left w:w="0" w:type="dxa"/>
                </w:tcMar>
                <w:vAlign w:val="center"/>
              </w:tcPr>
              <w:p w:rsidR="00E43BAB" w:rsidRPr="00954110" w:rsidRDefault="00FF0446" w:rsidP="005F58B2">
                <w:pPr>
                  <w:pStyle w:val="Details"/>
                </w:pPr>
                <w:r>
                  <w:t>April 21, 2016</w:t>
                </w:r>
              </w:p>
            </w:tc>
          </w:sdtContent>
        </w:sdt>
        <w:tc>
          <w:tcPr>
            <w:tcW w:w="2231" w:type="dxa"/>
            <w:shd w:val="clear" w:color="auto" w:fill="auto"/>
            <w:tcMar>
              <w:left w:w="0" w:type="dxa"/>
            </w:tcMar>
            <w:vAlign w:val="center"/>
          </w:tcPr>
          <w:p w:rsidR="00E43BAB" w:rsidRPr="00954110" w:rsidRDefault="00FF0446" w:rsidP="00FF0446">
            <w:pPr>
              <w:pStyle w:val="Details"/>
            </w:pPr>
            <w:r>
              <w:t>14:00 UTC</w:t>
            </w:r>
          </w:p>
        </w:tc>
        <w:tc>
          <w:tcPr>
            <w:tcW w:w="3240" w:type="dxa"/>
            <w:shd w:val="clear" w:color="auto" w:fill="auto"/>
            <w:tcMar>
              <w:left w:w="0" w:type="dxa"/>
            </w:tcMar>
            <w:vAlign w:val="center"/>
          </w:tcPr>
          <w:p w:rsidR="00E43BAB" w:rsidRPr="00954110" w:rsidRDefault="00FF0446" w:rsidP="00FF0446">
            <w:pPr>
              <w:pStyle w:val="Details"/>
            </w:pPr>
            <w:r>
              <w:t>Conference Call</w:t>
            </w:r>
          </w:p>
        </w:tc>
      </w:tr>
    </w:tbl>
    <w:p w:rsidR="00954110" w:rsidRDefault="0095411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71"/>
        <w:gridCol w:w="8119"/>
      </w:tblGrid>
      <w:tr w:rsidR="0085168B" w:rsidRPr="00692553" w:rsidTr="008925F6">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692553" w:rsidRDefault="00E60E43" w:rsidP="00954110">
            <w:pPr>
              <w:pStyle w:val="Heading3"/>
            </w:pPr>
            <w:r w:rsidRPr="00954110">
              <w:t>Meeting called</w:t>
            </w:r>
            <w:r>
              <w:t xml:space="preserve"> by</w:t>
            </w:r>
          </w:p>
        </w:tc>
        <w:tc>
          <w:tcPr>
            <w:tcW w:w="8119" w:type="dxa"/>
            <w:tcBorders>
              <w:top w:val="single" w:sz="12" w:space="0" w:color="BFBFBF" w:themeColor="background1" w:themeShade="BF"/>
            </w:tcBorders>
            <w:shd w:val="clear" w:color="auto" w:fill="auto"/>
            <w:vAlign w:val="center"/>
          </w:tcPr>
          <w:p w:rsidR="0085168B" w:rsidRPr="00692553" w:rsidRDefault="008925F6" w:rsidP="005052C5">
            <w:r>
              <w:t>Mark Peterson</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60E43" w:rsidP="00954110">
            <w:pPr>
              <w:pStyle w:val="Heading3"/>
            </w:pPr>
            <w:r>
              <w:t>Type of meeting</w:t>
            </w:r>
          </w:p>
        </w:tc>
        <w:tc>
          <w:tcPr>
            <w:tcW w:w="8119" w:type="dxa"/>
            <w:shd w:val="clear" w:color="auto" w:fill="auto"/>
            <w:vAlign w:val="center"/>
          </w:tcPr>
          <w:p w:rsidR="0085168B" w:rsidRPr="00692553" w:rsidRDefault="008925F6" w:rsidP="005052C5">
            <w:r>
              <w:t>Monthly Conference Call</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85168B" w:rsidP="00954110">
            <w:pPr>
              <w:pStyle w:val="Heading3"/>
            </w:pPr>
            <w:r w:rsidRPr="00692553">
              <w:t>Note take</w:t>
            </w:r>
            <w:r w:rsidR="00E60E43">
              <w:t>r</w:t>
            </w:r>
          </w:p>
        </w:tc>
        <w:tc>
          <w:tcPr>
            <w:tcW w:w="8119" w:type="dxa"/>
            <w:shd w:val="clear" w:color="auto" w:fill="auto"/>
            <w:vAlign w:val="center"/>
          </w:tcPr>
          <w:p w:rsidR="0085168B" w:rsidRPr="00692553" w:rsidRDefault="008925F6" w:rsidP="005052C5">
            <w:r>
              <w:t>Michael Horak</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71DBA" w:rsidP="00954110">
            <w:pPr>
              <w:pStyle w:val="Heading3"/>
            </w:pPr>
            <w:r>
              <w:t>Attendees</w:t>
            </w:r>
          </w:p>
        </w:tc>
        <w:tc>
          <w:tcPr>
            <w:tcW w:w="8119" w:type="dxa"/>
            <w:shd w:val="clear" w:color="auto" w:fill="auto"/>
            <w:vAlign w:val="center"/>
          </w:tcPr>
          <w:p w:rsidR="007D68D5" w:rsidRDefault="007D68D5" w:rsidP="007D68D5">
            <w:r w:rsidRPr="00564127">
              <w:t xml:space="preserve">Dawn Refsell; Gael le Goupil; Harry Strek; </w:t>
            </w:r>
            <w:r w:rsidR="00564127">
              <w:t>M.</w:t>
            </w:r>
            <w:r w:rsidRPr="00564127">
              <w:t xml:space="preserve"> Salas</w:t>
            </w:r>
            <w:r w:rsidR="00564127" w:rsidRPr="00564127">
              <w:t xml:space="preserve"> (EU HRAC rep)</w:t>
            </w:r>
            <w:r w:rsidRPr="00564127">
              <w:t>; Mark Peterson; Michael Horak; Roland Beffa;; Tim Obrigawitch</w:t>
            </w:r>
          </w:p>
          <w:p w:rsidR="0085168B" w:rsidRPr="00692553" w:rsidRDefault="0085168B" w:rsidP="005052C5"/>
        </w:tc>
      </w:tr>
    </w:tbl>
    <w:p w:rsidR="00594AF1" w:rsidRDefault="00594AF1" w:rsidP="00954110">
      <w:pPr>
        <w:pStyle w:val="Heading2"/>
      </w:pPr>
      <w:r>
        <w:t>Agenda Overview:</w:t>
      </w:r>
    </w:p>
    <w:p w:rsidR="00594AF1" w:rsidRDefault="00594AF1" w:rsidP="00594AF1">
      <w:pPr>
        <w:pStyle w:val="ListParagraph"/>
        <w:numPr>
          <w:ilvl w:val="0"/>
          <w:numId w:val="11"/>
        </w:numPr>
        <w:rPr>
          <w:sz w:val="22"/>
        </w:rPr>
      </w:pPr>
      <w:r>
        <w:rPr>
          <w:sz w:val="22"/>
        </w:rPr>
        <w:t>Anti-Trust Statement</w:t>
      </w:r>
    </w:p>
    <w:p w:rsidR="00594AF1" w:rsidRDefault="00594AF1" w:rsidP="00594AF1">
      <w:pPr>
        <w:pStyle w:val="ListParagraph"/>
        <w:numPr>
          <w:ilvl w:val="0"/>
          <w:numId w:val="11"/>
        </w:numPr>
        <w:rPr>
          <w:sz w:val="22"/>
        </w:rPr>
      </w:pPr>
      <w:r>
        <w:rPr>
          <w:sz w:val="22"/>
        </w:rPr>
        <w:t>Review of Action Register</w:t>
      </w:r>
    </w:p>
    <w:p w:rsidR="00594AF1" w:rsidRDefault="00594AF1" w:rsidP="00594AF1">
      <w:pPr>
        <w:pStyle w:val="ListParagraph"/>
        <w:numPr>
          <w:ilvl w:val="0"/>
          <w:numId w:val="11"/>
        </w:numPr>
        <w:rPr>
          <w:sz w:val="22"/>
        </w:rPr>
      </w:pPr>
      <w:r>
        <w:rPr>
          <w:sz w:val="22"/>
        </w:rPr>
        <w:t>Website/Branding Update</w:t>
      </w:r>
    </w:p>
    <w:p w:rsidR="00594AF1" w:rsidRDefault="00594AF1" w:rsidP="00594AF1">
      <w:pPr>
        <w:pStyle w:val="ListParagraph"/>
        <w:numPr>
          <w:ilvl w:val="0"/>
          <w:numId w:val="11"/>
        </w:numPr>
        <w:rPr>
          <w:sz w:val="22"/>
        </w:rPr>
      </w:pPr>
      <w:r>
        <w:rPr>
          <w:sz w:val="22"/>
        </w:rPr>
        <w:t>2016 Budget/Project Discussion</w:t>
      </w:r>
    </w:p>
    <w:p w:rsidR="00594AF1" w:rsidRDefault="00594AF1" w:rsidP="00594AF1">
      <w:pPr>
        <w:pStyle w:val="ListParagraph"/>
        <w:numPr>
          <w:ilvl w:val="0"/>
          <w:numId w:val="11"/>
        </w:numPr>
        <w:rPr>
          <w:sz w:val="22"/>
        </w:rPr>
      </w:pPr>
      <w:r>
        <w:rPr>
          <w:sz w:val="22"/>
        </w:rPr>
        <w:t>Working Group Updates (Brief)</w:t>
      </w:r>
    </w:p>
    <w:p w:rsidR="00594AF1" w:rsidRDefault="00594AF1" w:rsidP="00594AF1">
      <w:pPr>
        <w:pStyle w:val="ListParagraph"/>
        <w:numPr>
          <w:ilvl w:val="0"/>
          <w:numId w:val="11"/>
        </w:numPr>
        <w:rPr>
          <w:sz w:val="22"/>
        </w:rPr>
      </w:pPr>
      <w:r>
        <w:rPr>
          <w:sz w:val="22"/>
        </w:rPr>
        <w:t>Issues Update – EPA Proposals (Michael), Rothamsted Project Proposal (Roland/Mark)</w:t>
      </w:r>
    </w:p>
    <w:p w:rsidR="00594AF1" w:rsidRDefault="00594AF1" w:rsidP="00594AF1">
      <w:pPr>
        <w:pStyle w:val="ListParagraph"/>
        <w:numPr>
          <w:ilvl w:val="0"/>
          <w:numId w:val="11"/>
        </w:numPr>
        <w:rPr>
          <w:sz w:val="22"/>
        </w:rPr>
      </w:pPr>
      <w:r>
        <w:rPr>
          <w:sz w:val="22"/>
        </w:rPr>
        <w:t>HRAC Face-to-Face and Strategy Session, timing and location</w:t>
      </w:r>
    </w:p>
    <w:p w:rsidR="00E15DF3" w:rsidRDefault="00E15DF3" w:rsidP="00594AF1">
      <w:pPr>
        <w:pStyle w:val="ListParagraph"/>
        <w:numPr>
          <w:ilvl w:val="0"/>
          <w:numId w:val="11"/>
        </w:numPr>
        <w:rPr>
          <w:sz w:val="22"/>
        </w:rPr>
      </w:pPr>
      <w:r>
        <w:rPr>
          <w:sz w:val="22"/>
        </w:rPr>
        <w:t xml:space="preserve">Updates to MOA Classification (per email </w:t>
      </w:r>
      <w:r w:rsidR="00AA2235">
        <w:rPr>
          <w:sz w:val="22"/>
        </w:rPr>
        <w:t>from Harry)</w:t>
      </w:r>
    </w:p>
    <w:p w:rsidR="00AA2235" w:rsidRPr="00594AF1" w:rsidRDefault="00AA2235" w:rsidP="00594AF1">
      <w:pPr>
        <w:pStyle w:val="ListParagraph"/>
        <w:numPr>
          <w:ilvl w:val="0"/>
          <w:numId w:val="11"/>
        </w:numPr>
        <w:rPr>
          <w:sz w:val="22"/>
        </w:rPr>
      </w:pPr>
      <w:r>
        <w:rPr>
          <w:sz w:val="22"/>
        </w:rPr>
        <w:t>HRAC Objectives for 2016</w:t>
      </w:r>
    </w:p>
    <w:p w:rsidR="00594AF1" w:rsidRDefault="00594AF1" w:rsidP="00954110">
      <w:pPr>
        <w:pStyle w:val="Heading2"/>
      </w:pPr>
    </w:p>
    <w:p w:rsidR="00954110" w:rsidRDefault="00954110" w:rsidP="00954110">
      <w:pPr>
        <w:pStyle w:val="Heading2"/>
      </w:pPr>
      <w:r w:rsidRPr="00692553">
        <w:t>Agenda topics</w:t>
      </w:r>
    </w:p>
    <w:p w:rsidR="00564127" w:rsidRDefault="00564127" w:rsidP="00564127">
      <w:pPr>
        <w:pStyle w:val="ListParagraph"/>
        <w:numPr>
          <w:ilvl w:val="0"/>
          <w:numId w:val="11"/>
        </w:numPr>
        <w:rPr>
          <w:sz w:val="22"/>
        </w:rPr>
      </w:pPr>
      <w:r>
        <w:rPr>
          <w:sz w:val="22"/>
        </w:rPr>
        <w:t>Anti-Trust Statement (Michael)</w:t>
      </w:r>
    </w:p>
    <w:p w:rsidR="00564127" w:rsidRDefault="00564127" w:rsidP="00564127">
      <w:pPr>
        <w:pStyle w:val="ListParagraph"/>
        <w:numPr>
          <w:ilvl w:val="1"/>
          <w:numId w:val="11"/>
        </w:numPr>
        <w:rPr>
          <w:sz w:val="22"/>
        </w:rPr>
      </w:pPr>
      <w:r>
        <w:rPr>
          <w:sz w:val="22"/>
        </w:rPr>
        <w:t>Summarized at the start of the call</w:t>
      </w:r>
    </w:p>
    <w:p w:rsidR="00E94DDD" w:rsidRPr="00E94DDD" w:rsidRDefault="00E94DDD" w:rsidP="00E94DDD">
      <w:pPr>
        <w:rPr>
          <w:sz w:val="22"/>
        </w:rPr>
      </w:pPr>
    </w:p>
    <w:p w:rsidR="00564127" w:rsidRDefault="00564127" w:rsidP="00564127">
      <w:pPr>
        <w:pStyle w:val="ListParagraph"/>
        <w:numPr>
          <w:ilvl w:val="0"/>
          <w:numId w:val="11"/>
        </w:numPr>
        <w:rPr>
          <w:sz w:val="22"/>
        </w:rPr>
      </w:pPr>
      <w:r>
        <w:rPr>
          <w:sz w:val="22"/>
        </w:rPr>
        <w:t>Review of Action Register (Mark)</w:t>
      </w:r>
    </w:p>
    <w:p w:rsidR="00564127" w:rsidRDefault="00545CF0" w:rsidP="00564127">
      <w:pPr>
        <w:pStyle w:val="ListParagraph"/>
        <w:numPr>
          <w:ilvl w:val="1"/>
          <w:numId w:val="11"/>
        </w:numPr>
        <w:rPr>
          <w:sz w:val="22"/>
        </w:rPr>
      </w:pPr>
      <w:r>
        <w:rPr>
          <w:sz w:val="22"/>
        </w:rPr>
        <w:t>Spreadsheet</w:t>
      </w:r>
      <w:r w:rsidR="00564127">
        <w:rPr>
          <w:sz w:val="22"/>
        </w:rPr>
        <w:t xml:space="preserve"> attached</w:t>
      </w:r>
    </w:p>
    <w:p w:rsidR="00564127" w:rsidRDefault="00564127" w:rsidP="00564127">
      <w:pPr>
        <w:pStyle w:val="ListParagraph"/>
        <w:numPr>
          <w:ilvl w:val="1"/>
          <w:numId w:val="11"/>
        </w:numPr>
        <w:rPr>
          <w:sz w:val="22"/>
        </w:rPr>
      </w:pPr>
      <w:r>
        <w:rPr>
          <w:sz w:val="22"/>
        </w:rPr>
        <w:t>Possible symposium at Global Herbicide Challenge Meeting has been submitted</w:t>
      </w:r>
    </w:p>
    <w:p w:rsidR="00564127" w:rsidRDefault="00564127" w:rsidP="00564127">
      <w:pPr>
        <w:pStyle w:val="ListParagraph"/>
        <w:numPr>
          <w:ilvl w:val="1"/>
          <w:numId w:val="11"/>
        </w:numPr>
        <w:rPr>
          <w:sz w:val="22"/>
        </w:rPr>
      </w:pPr>
      <w:r>
        <w:rPr>
          <w:sz w:val="22"/>
        </w:rPr>
        <w:t xml:space="preserve">Best Management Practices for Herbicide Resistance Management.  Tim has been working on this activity and has been collating </w:t>
      </w:r>
      <w:r w:rsidR="00E2585D">
        <w:rPr>
          <w:sz w:val="22"/>
        </w:rPr>
        <w:t>the different guidance available.  This is on-going.</w:t>
      </w:r>
    </w:p>
    <w:p w:rsidR="00564127" w:rsidRDefault="00564127" w:rsidP="00564127">
      <w:pPr>
        <w:pStyle w:val="ListParagraph"/>
        <w:numPr>
          <w:ilvl w:val="1"/>
          <w:numId w:val="11"/>
        </w:numPr>
        <w:rPr>
          <w:sz w:val="22"/>
        </w:rPr>
      </w:pPr>
      <w:r>
        <w:rPr>
          <w:sz w:val="22"/>
        </w:rPr>
        <w:t>Proposals to consider:</w:t>
      </w:r>
    </w:p>
    <w:p w:rsidR="00564127" w:rsidRDefault="00564127" w:rsidP="00564127">
      <w:pPr>
        <w:pStyle w:val="ListParagraph"/>
        <w:numPr>
          <w:ilvl w:val="2"/>
          <w:numId w:val="11"/>
        </w:numPr>
        <w:rPr>
          <w:sz w:val="22"/>
        </w:rPr>
      </w:pPr>
      <w:r>
        <w:rPr>
          <w:sz w:val="22"/>
        </w:rPr>
        <w:t>Do we want to sponsor a WSSA symposium on “Testing for Herbicide Resistance”?</w:t>
      </w:r>
    </w:p>
    <w:p w:rsidR="00564127" w:rsidRDefault="00564127" w:rsidP="00564127">
      <w:pPr>
        <w:pStyle w:val="ListParagraph"/>
        <w:numPr>
          <w:ilvl w:val="3"/>
          <w:numId w:val="11"/>
        </w:numPr>
        <w:rPr>
          <w:sz w:val="22"/>
        </w:rPr>
      </w:pPr>
      <w:r>
        <w:rPr>
          <w:sz w:val="22"/>
        </w:rPr>
        <w:t>Good overall support from committee on this topic</w:t>
      </w:r>
    </w:p>
    <w:p w:rsidR="00564127" w:rsidRDefault="00564127" w:rsidP="00564127">
      <w:pPr>
        <w:pStyle w:val="ListParagraph"/>
        <w:numPr>
          <w:ilvl w:val="2"/>
          <w:numId w:val="11"/>
        </w:numPr>
        <w:rPr>
          <w:sz w:val="22"/>
        </w:rPr>
      </w:pPr>
      <w:r>
        <w:rPr>
          <w:sz w:val="22"/>
        </w:rPr>
        <w:t>Briefly discussed if there needs to be a talk or symposium on Herbicide Synergy and potential impacts on Herbicide Resistance Management.</w:t>
      </w:r>
    </w:p>
    <w:p w:rsidR="00564127" w:rsidRDefault="00564127" w:rsidP="00564127">
      <w:pPr>
        <w:pStyle w:val="ListParagraph"/>
        <w:numPr>
          <w:ilvl w:val="3"/>
          <w:numId w:val="11"/>
        </w:numPr>
        <w:rPr>
          <w:sz w:val="22"/>
        </w:rPr>
      </w:pPr>
      <w:r>
        <w:rPr>
          <w:sz w:val="22"/>
        </w:rPr>
        <w:t>General thought was to monitor this and decide later if it is needed.</w:t>
      </w:r>
    </w:p>
    <w:p w:rsidR="00E94DDD" w:rsidRPr="00E94DDD" w:rsidRDefault="00E94DDD" w:rsidP="00E94DDD">
      <w:pPr>
        <w:rPr>
          <w:sz w:val="22"/>
        </w:rPr>
      </w:pPr>
    </w:p>
    <w:p w:rsidR="00564127" w:rsidRDefault="00564127" w:rsidP="00E2585D">
      <w:pPr>
        <w:pStyle w:val="ListParagraph"/>
        <w:numPr>
          <w:ilvl w:val="0"/>
          <w:numId w:val="11"/>
        </w:numPr>
        <w:rPr>
          <w:sz w:val="22"/>
        </w:rPr>
      </w:pPr>
      <w:r w:rsidRPr="00E2585D">
        <w:rPr>
          <w:sz w:val="22"/>
        </w:rPr>
        <w:t>2016 Budget/Project Discussion</w:t>
      </w:r>
      <w:r w:rsidR="00E2585D">
        <w:rPr>
          <w:sz w:val="22"/>
        </w:rPr>
        <w:t xml:space="preserve"> (Michael)</w:t>
      </w:r>
    </w:p>
    <w:p w:rsidR="00E2585D" w:rsidRDefault="00E2585D" w:rsidP="00E2585D">
      <w:pPr>
        <w:pStyle w:val="ListParagraph"/>
        <w:numPr>
          <w:ilvl w:val="1"/>
          <w:numId w:val="11"/>
        </w:numPr>
        <w:rPr>
          <w:sz w:val="22"/>
        </w:rPr>
      </w:pPr>
      <w:r>
        <w:rPr>
          <w:sz w:val="22"/>
        </w:rPr>
        <w:t>Expenses to date is summarized in the attached excel file</w:t>
      </w:r>
    </w:p>
    <w:p w:rsidR="00E2585D" w:rsidRDefault="00E2585D" w:rsidP="00E2585D">
      <w:pPr>
        <w:pStyle w:val="ListParagraph"/>
        <w:numPr>
          <w:ilvl w:val="1"/>
          <w:numId w:val="11"/>
        </w:numPr>
        <w:rPr>
          <w:sz w:val="22"/>
        </w:rPr>
      </w:pPr>
      <w:r>
        <w:rPr>
          <w:sz w:val="22"/>
        </w:rPr>
        <w:t>2016 budget is 135,500 USD</w:t>
      </w:r>
    </w:p>
    <w:p w:rsidR="00E2585D" w:rsidRDefault="00E2585D" w:rsidP="00E2585D">
      <w:pPr>
        <w:pStyle w:val="ListParagraph"/>
        <w:numPr>
          <w:ilvl w:val="1"/>
          <w:numId w:val="11"/>
        </w:numPr>
        <w:rPr>
          <w:sz w:val="22"/>
        </w:rPr>
      </w:pPr>
      <w:r>
        <w:rPr>
          <w:sz w:val="22"/>
        </w:rPr>
        <w:t>Spend to date is 54,625 USD primarily on website design and international survey website support</w:t>
      </w:r>
    </w:p>
    <w:p w:rsidR="00E2585D" w:rsidRDefault="00E2585D" w:rsidP="00E2585D">
      <w:pPr>
        <w:pStyle w:val="ListParagraph"/>
        <w:numPr>
          <w:ilvl w:val="1"/>
          <w:numId w:val="11"/>
        </w:numPr>
        <w:rPr>
          <w:sz w:val="22"/>
        </w:rPr>
      </w:pPr>
      <w:r>
        <w:rPr>
          <w:sz w:val="22"/>
        </w:rPr>
        <w:t>2017 budget that is proposed is flat at 135,500 USD</w:t>
      </w:r>
    </w:p>
    <w:p w:rsidR="00E2585D" w:rsidRPr="00E2585D" w:rsidRDefault="00E2585D" w:rsidP="00E2585D">
      <w:pPr>
        <w:pStyle w:val="ListParagraph"/>
        <w:numPr>
          <w:ilvl w:val="1"/>
          <w:numId w:val="11"/>
        </w:numPr>
        <w:rPr>
          <w:sz w:val="22"/>
        </w:rPr>
      </w:pPr>
      <w:r>
        <w:rPr>
          <w:sz w:val="22"/>
        </w:rPr>
        <w:t>Michael to update committee on remaining funds allocation and if there is other money that we will need to plan to spend</w:t>
      </w:r>
    </w:p>
    <w:p w:rsidR="00564127" w:rsidRDefault="00564127" w:rsidP="00564127">
      <w:pPr>
        <w:pStyle w:val="ListParagraph"/>
        <w:numPr>
          <w:ilvl w:val="0"/>
          <w:numId w:val="11"/>
        </w:numPr>
        <w:rPr>
          <w:sz w:val="22"/>
        </w:rPr>
      </w:pPr>
      <w:r>
        <w:rPr>
          <w:sz w:val="22"/>
        </w:rPr>
        <w:lastRenderedPageBreak/>
        <w:t>Working Group Updates (Brief)</w:t>
      </w:r>
    </w:p>
    <w:p w:rsidR="00E2585D" w:rsidRDefault="00E2585D" w:rsidP="00E2585D">
      <w:pPr>
        <w:pStyle w:val="ListParagraph"/>
        <w:numPr>
          <w:ilvl w:val="1"/>
          <w:numId w:val="11"/>
        </w:numPr>
        <w:rPr>
          <w:sz w:val="22"/>
          <w:szCs w:val="22"/>
        </w:rPr>
      </w:pPr>
      <w:r w:rsidRPr="00E2585D">
        <w:rPr>
          <w:sz w:val="22"/>
          <w:szCs w:val="22"/>
        </w:rPr>
        <w:t>Auxin working group – Bob Masters will lead this going forward.  Proposal for Herbicide Challenge Meeting symposium.  May be some costs involved to help pay for speaker travel (depend on budget may want to pay some in 2016</w:t>
      </w:r>
      <w:proofErr w:type="gramStart"/>
      <w:r w:rsidRPr="00E2585D">
        <w:rPr>
          <w:sz w:val="22"/>
          <w:szCs w:val="22"/>
        </w:rPr>
        <w:t>,  Working</w:t>
      </w:r>
      <w:proofErr w:type="gramEnd"/>
      <w:r w:rsidRPr="00E2585D">
        <w:rPr>
          <w:sz w:val="22"/>
          <w:szCs w:val="22"/>
        </w:rPr>
        <w:t xml:space="preserve"> group will get back to Todd on status.</w:t>
      </w:r>
    </w:p>
    <w:p w:rsidR="00E2585D" w:rsidRDefault="00E2585D" w:rsidP="00E2585D">
      <w:pPr>
        <w:pStyle w:val="ListParagraph"/>
        <w:numPr>
          <w:ilvl w:val="1"/>
          <w:numId w:val="11"/>
        </w:numPr>
        <w:rPr>
          <w:sz w:val="22"/>
          <w:szCs w:val="22"/>
        </w:rPr>
      </w:pPr>
      <w:r w:rsidRPr="00E2585D">
        <w:rPr>
          <w:sz w:val="22"/>
          <w:szCs w:val="22"/>
        </w:rPr>
        <w:t xml:space="preserve">HPPD working group – talking with Todd about HPPD talks or symposium at Global Herbicide Challenge.  Next meeting in May and will begin working on </w:t>
      </w:r>
      <w:r>
        <w:rPr>
          <w:sz w:val="22"/>
          <w:szCs w:val="22"/>
        </w:rPr>
        <w:t xml:space="preserve">resistance testing </w:t>
      </w:r>
      <w:r w:rsidRPr="00E2585D">
        <w:rPr>
          <w:sz w:val="22"/>
          <w:szCs w:val="22"/>
        </w:rPr>
        <w:t>methods.</w:t>
      </w:r>
    </w:p>
    <w:p w:rsidR="00E94DDD" w:rsidRPr="00E94DDD" w:rsidRDefault="00E94DDD" w:rsidP="00E94DDD">
      <w:pPr>
        <w:rPr>
          <w:sz w:val="22"/>
          <w:szCs w:val="22"/>
        </w:rPr>
      </w:pPr>
    </w:p>
    <w:p w:rsidR="00564127" w:rsidRDefault="00564127" w:rsidP="00564127">
      <w:pPr>
        <w:pStyle w:val="ListParagraph"/>
        <w:numPr>
          <w:ilvl w:val="0"/>
          <w:numId w:val="11"/>
        </w:numPr>
        <w:rPr>
          <w:sz w:val="22"/>
        </w:rPr>
      </w:pPr>
      <w:r>
        <w:rPr>
          <w:sz w:val="22"/>
        </w:rPr>
        <w:t xml:space="preserve">Issues Update – EPA Proposals (Michael), </w:t>
      </w:r>
    </w:p>
    <w:p w:rsidR="00E2585D" w:rsidRDefault="00E2585D" w:rsidP="00E2585D">
      <w:pPr>
        <w:pStyle w:val="ListParagraph"/>
        <w:numPr>
          <w:ilvl w:val="1"/>
          <w:numId w:val="11"/>
        </w:numPr>
        <w:rPr>
          <w:sz w:val="22"/>
        </w:rPr>
      </w:pPr>
      <w:r>
        <w:rPr>
          <w:sz w:val="22"/>
        </w:rPr>
        <w:t xml:space="preserve">EPA issued new Herbicide Resistance Management Stewardship Checklist (see attached) </w:t>
      </w:r>
    </w:p>
    <w:p w:rsidR="00E2585D" w:rsidRDefault="00E2585D" w:rsidP="00E2585D">
      <w:pPr>
        <w:pStyle w:val="ListParagraph"/>
        <w:numPr>
          <w:ilvl w:val="1"/>
          <w:numId w:val="11"/>
        </w:numPr>
        <w:rPr>
          <w:sz w:val="22"/>
        </w:rPr>
      </w:pPr>
      <w:r>
        <w:rPr>
          <w:sz w:val="22"/>
        </w:rPr>
        <w:t xml:space="preserve">US HRAC and WSSA have developed responses that are in review.  (WSSA response is attached).  US HRAC comments are in legal review at CLA and in review at member companies </w:t>
      </w:r>
    </w:p>
    <w:p w:rsidR="00E2585D" w:rsidRDefault="00E2585D" w:rsidP="00E2585D">
      <w:pPr>
        <w:pStyle w:val="ListParagraph"/>
        <w:numPr>
          <w:ilvl w:val="1"/>
          <w:numId w:val="11"/>
        </w:numPr>
        <w:rPr>
          <w:sz w:val="22"/>
        </w:rPr>
      </w:pPr>
      <w:r>
        <w:rPr>
          <w:sz w:val="22"/>
        </w:rPr>
        <w:t>EPA has implemented the use of the checklist and there are several elements which are raising concern with stakeholders</w:t>
      </w:r>
    </w:p>
    <w:p w:rsidR="00E94DDD" w:rsidRPr="00E94DDD" w:rsidRDefault="00E94DDD" w:rsidP="00E94DDD">
      <w:pPr>
        <w:rPr>
          <w:sz w:val="22"/>
        </w:rPr>
      </w:pPr>
    </w:p>
    <w:p w:rsidR="00E94DDD" w:rsidRPr="00E94DDD" w:rsidRDefault="00E2585D" w:rsidP="00E94DDD">
      <w:pPr>
        <w:pStyle w:val="ListParagraph"/>
        <w:numPr>
          <w:ilvl w:val="0"/>
          <w:numId w:val="11"/>
        </w:numPr>
        <w:rPr>
          <w:sz w:val="22"/>
        </w:rPr>
      </w:pPr>
      <w:r>
        <w:rPr>
          <w:sz w:val="22"/>
        </w:rPr>
        <w:t>Issues Update –Rothamsted Project Proposal (Roland/Mark)</w:t>
      </w:r>
    </w:p>
    <w:p w:rsidR="00E2585D" w:rsidRDefault="00E2585D" w:rsidP="00E2585D">
      <w:pPr>
        <w:pStyle w:val="ListParagraph"/>
        <w:numPr>
          <w:ilvl w:val="1"/>
          <w:numId w:val="11"/>
        </w:numPr>
        <w:rPr>
          <w:sz w:val="22"/>
          <w:szCs w:val="22"/>
        </w:rPr>
      </w:pPr>
      <w:r w:rsidRPr="00E2585D">
        <w:rPr>
          <w:sz w:val="22"/>
          <w:szCs w:val="22"/>
        </w:rPr>
        <w:t xml:space="preserve">Research group at </w:t>
      </w:r>
      <w:proofErr w:type="spellStart"/>
      <w:r w:rsidRPr="00E2585D">
        <w:rPr>
          <w:sz w:val="22"/>
          <w:szCs w:val="22"/>
        </w:rPr>
        <w:t>Rothamstad</w:t>
      </w:r>
      <w:proofErr w:type="spellEnd"/>
      <w:r w:rsidRPr="00E2585D">
        <w:rPr>
          <w:sz w:val="22"/>
          <w:szCs w:val="22"/>
        </w:rPr>
        <w:t xml:space="preserve"> contacted Global HRAC about a resistance management project.  Goal is to set up</w:t>
      </w:r>
      <w:r w:rsidR="00E94DDD">
        <w:rPr>
          <w:sz w:val="22"/>
          <w:szCs w:val="22"/>
        </w:rPr>
        <w:t xml:space="preserve"> an</w:t>
      </w:r>
      <w:r w:rsidRPr="00E2585D">
        <w:rPr>
          <w:sz w:val="22"/>
          <w:szCs w:val="22"/>
        </w:rPr>
        <w:t xml:space="preserve"> H2020 </w:t>
      </w:r>
      <w:r w:rsidR="00E94DDD">
        <w:rPr>
          <w:sz w:val="22"/>
          <w:szCs w:val="22"/>
        </w:rPr>
        <w:t xml:space="preserve">project </w:t>
      </w:r>
      <w:r w:rsidRPr="00E2585D">
        <w:rPr>
          <w:sz w:val="22"/>
          <w:szCs w:val="22"/>
        </w:rPr>
        <w:t xml:space="preserve">on resistance management in EU.  Impact of resistance on EU </w:t>
      </w:r>
      <w:proofErr w:type="spellStart"/>
      <w:proofErr w:type="gramStart"/>
      <w:r w:rsidRPr="00E2585D">
        <w:rPr>
          <w:sz w:val="22"/>
          <w:szCs w:val="22"/>
        </w:rPr>
        <w:t>ag</w:t>
      </w:r>
      <w:proofErr w:type="spellEnd"/>
      <w:proofErr w:type="gramEnd"/>
      <w:r w:rsidRPr="00E2585D">
        <w:rPr>
          <w:sz w:val="22"/>
          <w:szCs w:val="22"/>
        </w:rPr>
        <w:t xml:space="preserve"> production based on multi</w:t>
      </w:r>
      <w:r w:rsidR="00E94DDD">
        <w:rPr>
          <w:sz w:val="22"/>
          <w:szCs w:val="22"/>
        </w:rPr>
        <w:t>-</w:t>
      </w:r>
      <w:r w:rsidRPr="00E2585D">
        <w:rPr>
          <w:sz w:val="22"/>
          <w:szCs w:val="22"/>
        </w:rPr>
        <w:t>stakeholder platform on resistance management.  Little information available yet.  Meeting tomorrow will be first meeting.  Roland will get notes to Global HRAC.  ECPA would like to use this as a platform to demonstrate impact of resistance and implications for keeping products on the market (impact of removing tools from market).  Will likely discuss use of low rates and impact on resistance. May get a budget request on this project.</w:t>
      </w:r>
    </w:p>
    <w:p w:rsidR="00E94DDD" w:rsidRPr="00E94DDD" w:rsidRDefault="00E94DDD" w:rsidP="00E94DDD">
      <w:pPr>
        <w:rPr>
          <w:sz w:val="22"/>
          <w:szCs w:val="22"/>
        </w:rPr>
      </w:pPr>
    </w:p>
    <w:p w:rsidR="00564127" w:rsidRDefault="00564127" w:rsidP="00564127">
      <w:pPr>
        <w:pStyle w:val="ListParagraph"/>
        <w:numPr>
          <w:ilvl w:val="0"/>
          <w:numId w:val="11"/>
        </w:numPr>
        <w:rPr>
          <w:sz w:val="22"/>
        </w:rPr>
      </w:pPr>
      <w:r>
        <w:rPr>
          <w:sz w:val="22"/>
        </w:rPr>
        <w:t>HRAC Face-to-Face and Strategy Session, timing and location</w:t>
      </w:r>
    </w:p>
    <w:p w:rsidR="00E94DDD" w:rsidRDefault="00E94DDD" w:rsidP="00E94DDD">
      <w:pPr>
        <w:pStyle w:val="ListParagraph"/>
        <w:numPr>
          <w:ilvl w:val="1"/>
          <w:numId w:val="11"/>
        </w:numPr>
        <w:rPr>
          <w:sz w:val="22"/>
          <w:szCs w:val="22"/>
        </w:rPr>
      </w:pPr>
      <w:r w:rsidRPr="00E94DDD">
        <w:rPr>
          <w:sz w:val="22"/>
          <w:szCs w:val="22"/>
        </w:rPr>
        <w:t xml:space="preserve">Possible date is week of Sept 12, 2016 in conjunction with face to face meeting.  Proposal would be to have in EU possibly at CLI in Brussels.  Possibly arrange for teleconference site for those who cannot get approval to travel to EU.  </w:t>
      </w:r>
    </w:p>
    <w:p w:rsidR="00E94DDD" w:rsidRDefault="00E94DDD" w:rsidP="00E94DDD">
      <w:pPr>
        <w:pStyle w:val="ListParagraph"/>
        <w:numPr>
          <w:ilvl w:val="1"/>
          <w:numId w:val="11"/>
        </w:numPr>
        <w:rPr>
          <w:sz w:val="22"/>
          <w:szCs w:val="22"/>
        </w:rPr>
      </w:pPr>
      <w:r>
        <w:rPr>
          <w:sz w:val="22"/>
          <w:szCs w:val="22"/>
        </w:rPr>
        <w:t>Will need to check that this does not conflict with an EFSA meeting on Sept 12 till noon on September 13</w:t>
      </w:r>
    </w:p>
    <w:p w:rsidR="00E94DDD" w:rsidRPr="00E94DDD" w:rsidRDefault="00E94DDD" w:rsidP="00E94DDD">
      <w:pPr>
        <w:rPr>
          <w:sz w:val="22"/>
          <w:szCs w:val="22"/>
        </w:rPr>
      </w:pPr>
    </w:p>
    <w:p w:rsidR="00564127" w:rsidRDefault="00564127" w:rsidP="00564127">
      <w:pPr>
        <w:pStyle w:val="ListParagraph"/>
        <w:numPr>
          <w:ilvl w:val="0"/>
          <w:numId w:val="11"/>
        </w:numPr>
        <w:rPr>
          <w:sz w:val="22"/>
        </w:rPr>
      </w:pPr>
      <w:r>
        <w:rPr>
          <w:sz w:val="22"/>
        </w:rPr>
        <w:t xml:space="preserve">Updates to MOA Classification </w:t>
      </w:r>
    </w:p>
    <w:p w:rsidR="00E94DDD" w:rsidRDefault="00545CF0" w:rsidP="00E94DDD">
      <w:pPr>
        <w:pStyle w:val="ListParagraph"/>
        <w:numPr>
          <w:ilvl w:val="1"/>
          <w:numId w:val="11"/>
        </w:numPr>
        <w:rPr>
          <w:sz w:val="22"/>
        </w:rPr>
      </w:pPr>
      <w:r>
        <w:rPr>
          <w:sz w:val="22"/>
        </w:rPr>
        <w:t xml:space="preserve">The question was related to the classification of </w:t>
      </w:r>
      <w:proofErr w:type="spellStart"/>
      <w:r>
        <w:rPr>
          <w:sz w:val="22"/>
        </w:rPr>
        <w:t>clomazone</w:t>
      </w:r>
      <w:proofErr w:type="spellEnd"/>
      <w:r>
        <w:rPr>
          <w:sz w:val="22"/>
        </w:rPr>
        <w:t xml:space="preserve"> on the HRAC and International Survey websites and the fact that group F4 was missing from both</w:t>
      </w:r>
      <w:r w:rsidR="00E94DDD">
        <w:rPr>
          <w:sz w:val="22"/>
        </w:rPr>
        <w:t>.</w:t>
      </w:r>
      <w:r>
        <w:rPr>
          <w:sz w:val="22"/>
        </w:rPr>
        <w:t xml:space="preserve">  The correction was made via an email discussion after Harry Strek raised the question.  The proposal to make the update was circulated on an email by Ian Heap and all HRAC members were copied.  No objections were raised so Ian made the change.  </w:t>
      </w:r>
      <w:r w:rsidR="00FE23C0">
        <w:rPr>
          <w:sz w:val="22"/>
        </w:rPr>
        <w:t xml:space="preserve">A brief discussion ensued about the proper procedure for making such changes and it was agreed that these should be handled by email to the membership with review at one of the semiannual </w:t>
      </w:r>
      <w:bookmarkStart w:id="0" w:name="_GoBack"/>
      <w:bookmarkEnd w:id="0"/>
      <w:r w:rsidR="00FE23C0">
        <w:rPr>
          <w:sz w:val="22"/>
        </w:rPr>
        <w:t>face to face meetings.</w:t>
      </w:r>
    </w:p>
    <w:p w:rsidR="00E94DDD" w:rsidRDefault="00E94DDD" w:rsidP="00E94DDD">
      <w:pPr>
        <w:rPr>
          <w:sz w:val="22"/>
        </w:rPr>
      </w:pPr>
    </w:p>
    <w:p w:rsidR="00E94DDD" w:rsidRPr="00E94DDD" w:rsidRDefault="00E94DDD" w:rsidP="00E94DDD">
      <w:pPr>
        <w:rPr>
          <w:sz w:val="22"/>
        </w:rPr>
      </w:pPr>
    </w:p>
    <w:p w:rsidR="00564127" w:rsidRDefault="00564127" w:rsidP="00564127">
      <w:pPr>
        <w:pStyle w:val="ListParagraph"/>
        <w:numPr>
          <w:ilvl w:val="0"/>
          <w:numId w:val="11"/>
        </w:numPr>
        <w:rPr>
          <w:sz w:val="22"/>
        </w:rPr>
      </w:pPr>
      <w:r>
        <w:rPr>
          <w:sz w:val="22"/>
        </w:rPr>
        <w:t>HRAC Objectives for 2016</w:t>
      </w:r>
    </w:p>
    <w:p w:rsidR="00E94DDD" w:rsidRDefault="00E94DDD" w:rsidP="00E94DDD">
      <w:pPr>
        <w:pStyle w:val="ListParagraph"/>
        <w:numPr>
          <w:ilvl w:val="1"/>
          <w:numId w:val="11"/>
        </w:numPr>
        <w:rPr>
          <w:sz w:val="22"/>
          <w:szCs w:val="22"/>
        </w:rPr>
      </w:pPr>
      <w:r w:rsidRPr="00E94DDD">
        <w:rPr>
          <w:sz w:val="22"/>
          <w:szCs w:val="22"/>
        </w:rPr>
        <w:t>See attached document. Global HRAC2016 Activities and Priorities</w:t>
      </w:r>
      <w:proofErr w:type="gramStart"/>
      <w:r w:rsidRPr="00E94DDD">
        <w:rPr>
          <w:sz w:val="22"/>
          <w:szCs w:val="22"/>
        </w:rPr>
        <w:t xml:space="preserve">;  </w:t>
      </w:r>
      <w:r>
        <w:rPr>
          <w:sz w:val="22"/>
          <w:szCs w:val="22"/>
        </w:rPr>
        <w:t>Need</w:t>
      </w:r>
      <w:proofErr w:type="gramEnd"/>
      <w:r>
        <w:rPr>
          <w:sz w:val="22"/>
          <w:szCs w:val="22"/>
        </w:rPr>
        <w:t xml:space="preserve"> to add </w:t>
      </w:r>
      <w:r w:rsidRPr="00E94DDD">
        <w:rPr>
          <w:sz w:val="22"/>
          <w:szCs w:val="22"/>
        </w:rPr>
        <w:t>website advertisement as 2016 activity;  Should we engage in social media in some fashion?  How get brand and message out more broadly</w:t>
      </w:r>
      <w:r>
        <w:rPr>
          <w:sz w:val="22"/>
          <w:szCs w:val="22"/>
        </w:rPr>
        <w:t>?</w:t>
      </w:r>
    </w:p>
    <w:p w:rsidR="00E94DDD" w:rsidRPr="00E94DDD" w:rsidRDefault="00E94DDD" w:rsidP="00E94DDD">
      <w:pPr>
        <w:rPr>
          <w:sz w:val="22"/>
          <w:szCs w:val="22"/>
        </w:rPr>
      </w:pPr>
    </w:p>
    <w:p w:rsidR="00E94DDD" w:rsidRDefault="00E94DDD" w:rsidP="00E94DDD">
      <w:pPr>
        <w:pStyle w:val="ListParagraph"/>
        <w:numPr>
          <w:ilvl w:val="0"/>
          <w:numId w:val="11"/>
        </w:numPr>
        <w:rPr>
          <w:sz w:val="22"/>
          <w:szCs w:val="22"/>
        </w:rPr>
      </w:pPr>
      <w:r>
        <w:rPr>
          <w:sz w:val="22"/>
          <w:szCs w:val="22"/>
        </w:rPr>
        <w:t>Website/Branding</w:t>
      </w:r>
    </w:p>
    <w:p w:rsidR="0085168B" w:rsidRPr="00E94DDD" w:rsidRDefault="00E94DDD" w:rsidP="00E94DDD">
      <w:pPr>
        <w:pStyle w:val="ListParagraph"/>
        <w:numPr>
          <w:ilvl w:val="1"/>
          <w:numId w:val="11"/>
        </w:numPr>
      </w:pPr>
      <w:r>
        <w:rPr>
          <w:sz w:val="22"/>
          <w:szCs w:val="22"/>
        </w:rPr>
        <w:lastRenderedPageBreak/>
        <w:t>Website is on track for a mid May launch</w:t>
      </w:r>
    </w:p>
    <w:p w:rsidR="00E94DDD" w:rsidRDefault="00E94DDD" w:rsidP="00E94DDD"/>
    <w:p w:rsidR="00E94DDD" w:rsidRDefault="00E94DDD" w:rsidP="00E94DDD"/>
    <w:p w:rsidR="00E94DDD" w:rsidRDefault="00E94DDD" w:rsidP="00E94DDD"/>
    <w:p w:rsidR="007D68D5" w:rsidRDefault="007D68D5" w:rsidP="007D68D5">
      <w:pPr>
        <w:pStyle w:val="Default"/>
        <w:jc w:val="center"/>
        <w:rPr>
          <w:rFonts w:ascii="Calibri" w:hAnsi="Calibri" w:cs="Calibri"/>
          <w:sz w:val="20"/>
          <w:szCs w:val="20"/>
          <w:lang w:val="en-GB"/>
        </w:rPr>
      </w:pPr>
      <w:r>
        <w:rPr>
          <w:rFonts w:ascii="Calibri" w:hAnsi="Calibri" w:cs="Calibri"/>
          <w:b/>
          <w:bCs/>
          <w:sz w:val="20"/>
          <w:szCs w:val="20"/>
          <w:u w:val="single"/>
          <w:lang w:val="en-GB"/>
        </w:rPr>
        <w:t>Antitrust Guidelines</w:t>
      </w:r>
    </w:p>
    <w:p w:rsidR="007D68D5" w:rsidRDefault="007D68D5" w:rsidP="007D68D5">
      <w:pPr>
        <w:pStyle w:val="CM21"/>
        <w:spacing w:after="275" w:line="276" w:lineRule="atLeast"/>
        <w:rPr>
          <w:rFonts w:ascii="Calibri" w:hAnsi="Calibri" w:cs="Calibri"/>
          <w:color w:val="000000"/>
          <w:sz w:val="20"/>
          <w:szCs w:val="20"/>
          <w:lang w:val="en-GB"/>
        </w:rPr>
      </w:pPr>
    </w:p>
    <w:p w:rsidR="007D68D5" w:rsidRDefault="007D68D5" w:rsidP="007D68D5">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While some activities among competitors are both legal and beneficial to the industry, group activities of competitors are inherently suspect under the antitrust laws.  Agreements or combinations between or among competitors need not be formal to raise questions under antitrust laws, but may include any kind of understanding, formal or informal, secretive or public, under which each of the participants can reasonably expect that another will follow a particular course of action.</w:t>
      </w:r>
    </w:p>
    <w:p w:rsidR="007D68D5" w:rsidRDefault="007D68D5" w:rsidP="007D68D5">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All HRAC Members have a responsibility to see that topics, which may give an appearance of an agreement that would violate the antitrust laws, are not discussed during meetings. It is the responsibility of each member in the first instance to avoid raising improper subjects for discussion and the purpose of the Antitrust Guidelines is to assure that participants are aware of this obligation.</w:t>
      </w:r>
    </w:p>
    <w:p w:rsidR="007D68D5" w:rsidRDefault="007D68D5" w:rsidP="007D68D5">
      <w:pPr>
        <w:pStyle w:val="CM21"/>
        <w:spacing w:after="275" w:line="276" w:lineRule="atLeast"/>
        <w:ind w:right="305"/>
        <w:rPr>
          <w:rFonts w:ascii="Calibri" w:hAnsi="Calibri" w:cs="Calibri"/>
          <w:color w:val="000000"/>
          <w:sz w:val="20"/>
          <w:szCs w:val="20"/>
          <w:lang w:val="en-GB"/>
        </w:rPr>
      </w:pPr>
      <w:r>
        <w:rPr>
          <w:rFonts w:ascii="Calibri" w:hAnsi="Calibri" w:cs="Calibri"/>
          <w:color w:val="000000"/>
          <w:sz w:val="20"/>
          <w:szCs w:val="20"/>
          <w:lang w:val="en-GB"/>
        </w:rPr>
        <w:t>The Dos and Don’ts presented below highlight only the most basic antitrust principles.  Each participant in a meeting should be thoroughly familiar with his/her responsibilities under the antitrust laws and should consult counsel in all cases involving specific situations, interpretations or advice.</w:t>
      </w:r>
    </w:p>
    <w:p w:rsidR="007D68D5" w:rsidRDefault="007D68D5" w:rsidP="007D68D5">
      <w:pPr>
        <w:pStyle w:val="CM21"/>
        <w:spacing w:after="219" w:line="276" w:lineRule="atLeast"/>
        <w:rPr>
          <w:rFonts w:ascii="Calibri" w:hAnsi="Calibri" w:cs="Calibri"/>
          <w:color w:val="000000"/>
          <w:sz w:val="20"/>
          <w:szCs w:val="20"/>
          <w:lang w:val="en-GB"/>
        </w:rPr>
      </w:pPr>
      <w:r>
        <w:rPr>
          <w:rFonts w:ascii="Calibri" w:hAnsi="Calibri" w:cs="Calibri"/>
          <w:b/>
          <w:bCs/>
          <w:color w:val="000000"/>
          <w:sz w:val="20"/>
          <w:szCs w:val="20"/>
          <w:lang w:val="en-GB"/>
        </w:rPr>
        <w:t>DON’T</w:t>
      </w:r>
    </w:p>
    <w:p w:rsidR="007D68D5" w:rsidRDefault="007D68D5" w:rsidP="007D68D5">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1. Do not, in fact or appearance, discuss or exchange information regarding:</w:t>
      </w:r>
    </w:p>
    <w:p w:rsidR="007D68D5" w:rsidRDefault="007D68D5" w:rsidP="007D68D5">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Individual company prices, price changes, price differentials, mark-ups, discounts, allowances, credit terms, etc., or data that bear on price, e.g. costs, production, capacity, inventories, sales, etc.</w:t>
      </w:r>
    </w:p>
    <w:p w:rsidR="007D68D5" w:rsidRDefault="007D68D5" w:rsidP="007D68D5">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 xml:space="preserve">Industry pricing policies, price levels, </w:t>
      </w:r>
      <w:proofErr w:type="gramStart"/>
      <w:r>
        <w:rPr>
          <w:rFonts w:ascii="Calibri" w:hAnsi="Calibri" w:cs="Calibri"/>
          <w:sz w:val="20"/>
          <w:szCs w:val="20"/>
          <w:lang w:val="en-GB"/>
        </w:rPr>
        <w:t>price</w:t>
      </w:r>
      <w:proofErr w:type="gramEnd"/>
      <w:r>
        <w:rPr>
          <w:rFonts w:ascii="Calibri" w:hAnsi="Calibri" w:cs="Calibri"/>
          <w:sz w:val="20"/>
          <w:szCs w:val="20"/>
          <w:lang w:val="en-GB"/>
        </w:rPr>
        <w:t xml:space="preserve"> changes, differentials, etc.</w:t>
      </w:r>
    </w:p>
    <w:p w:rsidR="007D68D5" w:rsidRDefault="007D68D5" w:rsidP="007D68D5">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Changes in industry production, capacity or inventories.</w:t>
      </w:r>
    </w:p>
    <w:p w:rsidR="007D68D5" w:rsidRDefault="007D68D5" w:rsidP="007D68D5">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Bids on contracts for particular products; procedures for responding to bid invitations.</w:t>
      </w:r>
    </w:p>
    <w:p w:rsidR="007D68D5" w:rsidRDefault="007D68D5" w:rsidP="007D68D5">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Plans of individual companies concerning the design, production, distribution or marketing of particular products, including proposed territories or customers.</w:t>
      </w:r>
    </w:p>
    <w:p w:rsidR="007D68D5" w:rsidRDefault="007D68D5" w:rsidP="007D68D5">
      <w:pPr>
        <w:pStyle w:val="Default"/>
        <w:numPr>
          <w:ilvl w:val="0"/>
          <w:numId w:val="12"/>
        </w:numPr>
        <w:rPr>
          <w:rFonts w:ascii="Calibri" w:hAnsi="Calibri" w:cs="Calibri"/>
          <w:sz w:val="20"/>
          <w:szCs w:val="20"/>
          <w:lang w:val="en-GB"/>
        </w:rPr>
      </w:pPr>
      <w:r>
        <w:rPr>
          <w:rFonts w:ascii="Calibri" w:hAnsi="Calibri" w:cs="Calibri"/>
          <w:sz w:val="20"/>
          <w:szCs w:val="20"/>
          <w:lang w:val="en-GB"/>
        </w:rPr>
        <w:t>Matters relating to actual or potential individual customers or suppliers that might have the effect of excluding them from any market or of influencing the business conduct of firms toward such suppliers or customers.</w:t>
      </w:r>
    </w:p>
    <w:p w:rsidR="007D68D5" w:rsidRDefault="007D68D5" w:rsidP="007D68D5">
      <w:pPr>
        <w:pStyle w:val="Default"/>
        <w:rPr>
          <w:rFonts w:ascii="Calibri" w:hAnsi="Calibri" w:cs="Calibri"/>
          <w:sz w:val="20"/>
          <w:szCs w:val="20"/>
          <w:lang w:val="en-GB"/>
        </w:rPr>
      </w:pPr>
    </w:p>
    <w:p w:rsidR="007D68D5" w:rsidRDefault="007D68D5" w:rsidP="007D68D5">
      <w:pPr>
        <w:pStyle w:val="CM21"/>
        <w:spacing w:after="275" w:line="276" w:lineRule="atLeast"/>
        <w:ind w:left="360" w:hanging="360"/>
        <w:rPr>
          <w:rFonts w:ascii="Calibri" w:hAnsi="Calibri" w:cs="Calibri"/>
          <w:color w:val="000000"/>
          <w:sz w:val="20"/>
          <w:szCs w:val="20"/>
          <w:lang w:val="en-GB"/>
        </w:rPr>
      </w:pPr>
      <w:r>
        <w:rPr>
          <w:rFonts w:ascii="Calibri" w:hAnsi="Calibri" w:cs="Calibri"/>
          <w:color w:val="000000"/>
          <w:sz w:val="20"/>
          <w:szCs w:val="20"/>
          <w:lang w:val="en-GB"/>
        </w:rPr>
        <w:t>2. Do not discuss or exchange information regarding the above matters during social gatherings incidental to meetings, even in jest.</w:t>
      </w:r>
    </w:p>
    <w:p w:rsidR="007D68D5" w:rsidRDefault="007D68D5" w:rsidP="007D68D5">
      <w:pPr>
        <w:pStyle w:val="CM21"/>
        <w:spacing w:after="275" w:line="276" w:lineRule="atLeast"/>
        <w:rPr>
          <w:rFonts w:ascii="Calibri" w:hAnsi="Calibri" w:cs="Calibri"/>
          <w:color w:val="000000"/>
          <w:sz w:val="20"/>
          <w:szCs w:val="20"/>
          <w:lang w:val="en-GB"/>
        </w:rPr>
      </w:pPr>
      <w:r>
        <w:rPr>
          <w:rFonts w:ascii="Calibri" w:hAnsi="Calibri" w:cs="Calibri"/>
          <w:b/>
          <w:bCs/>
          <w:color w:val="000000"/>
          <w:sz w:val="20"/>
          <w:szCs w:val="20"/>
          <w:lang w:val="en-GB"/>
        </w:rPr>
        <w:t>DO</w:t>
      </w:r>
    </w:p>
    <w:p w:rsidR="007D68D5" w:rsidRDefault="007D68D5" w:rsidP="007D68D5">
      <w:pPr>
        <w:pStyle w:val="Default"/>
        <w:numPr>
          <w:ilvl w:val="0"/>
          <w:numId w:val="13"/>
        </w:numPr>
        <w:rPr>
          <w:rFonts w:ascii="Calibri" w:hAnsi="Calibri" w:cs="Calibri"/>
          <w:sz w:val="20"/>
          <w:szCs w:val="20"/>
          <w:lang w:val="en-GB"/>
        </w:rPr>
      </w:pPr>
      <w:r>
        <w:rPr>
          <w:rFonts w:ascii="Calibri" w:hAnsi="Calibri" w:cs="Calibri"/>
          <w:sz w:val="20"/>
          <w:szCs w:val="20"/>
          <w:lang w:val="en-GB"/>
        </w:rPr>
        <w:t>Have an agenda and adhere to prepared agendas for all meetings.</w:t>
      </w:r>
    </w:p>
    <w:p w:rsidR="007D68D5" w:rsidRDefault="007D68D5" w:rsidP="007D68D5">
      <w:pPr>
        <w:pStyle w:val="Default"/>
        <w:numPr>
          <w:ilvl w:val="0"/>
          <w:numId w:val="13"/>
        </w:numPr>
        <w:rPr>
          <w:rFonts w:ascii="Calibri" w:hAnsi="Calibri" w:cs="Calibri"/>
          <w:sz w:val="20"/>
          <w:szCs w:val="20"/>
          <w:lang w:val="en-GB"/>
        </w:rPr>
      </w:pPr>
      <w:r>
        <w:rPr>
          <w:rFonts w:ascii="Calibri" w:hAnsi="Calibri" w:cs="Calibri"/>
          <w:sz w:val="20"/>
          <w:szCs w:val="20"/>
          <w:lang w:val="en-GB"/>
        </w:rPr>
        <w:t>Get minutes taken and object if they do not accurately reflect the discussion and actions taken.</w:t>
      </w:r>
    </w:p>
    <w:p w:rsidR="007D68D5" w:rsidRDefault="007D68D5" w:rsidP="007D68D5">
      <w:pPr>
        <w:pStyle w:val="Default"/>
        <w:numPr>
          <w:ilvl w:val="0"/>
          <w:numId w:val="13"/>
        </w:numPr>
        <w:rPr>
          <w:rFonts w:ascii="Calibri" w:hAnsi="Calibri" w:cs="Calibri"/>
          <w:sz w:val="20"/>
          <w:szCs w:val="20"/>
          <w:lang w:val="en-GB"/>
        </w:rPr>
      </w:pPr>
      <w:r>
        <w:rPr>
          <w:rFonts w:ascii="Calibri" w:hAnsi="Calibri" w:cs="Calibri"/>
          <w:sz w:val="20"/>
          <w:szCs w:val="20"/>
          <w:lang w:val="en-GB"/>
        </w:rPr>
        <w:t>Consult with your legal counsel on all antitrust questions relating to meetings.</w:t>
      </w:r>
    </w:p>
    <w:p w:rsidR="007D68D5" w:rsidRDefault="007D68D5" w:rsidP="007D68D5">
      <w:pPr>
        <w:pStyle w:val="Default"/>
        <w:numPr>
          <w:ilvl w:val="0"/>
          <w:numId w:val="13"/>
        </w:numPr>
        <w:rPr>
          <w:rFonts w:ascii="Calibri" w:hAnsi="Calibri" w:cs="Calibri"/>
          <w:sz w:val="20"/>
          <w:szCs w:val="20"/>
          <w:lang w:val="en-GB"/>
        </w:rPr>
      </w:pPr>
      <w:r>
        <w:rPr>
          <w:rFonts w:ascii="Calibri" w:hAnsi="Calibri" w:cs="Calibri"/>
          <w:sz w:val="20"/>
          <w:szCs w:val="20"/>
          <w:lang w:val="en-GB"/>
        </w:rPr>
        <w:t xml:space="preserve">Protest against any discussions or meeting activities which appear to violate the antitrust laws; disassociate </w:t>
      </w:r>
      <w:proofErr w:type="gramStart"/>
      <w:r>
        <w:rPr>
          <w:rFonts w:ascii="Calibri" w:hAnsi="Calibri" w:cs="Calibri"/>
          <w:sz w:val="20"/>
          <w:szCs w:val="20"/>
          <w:lang w:val="en-GB"/>
        </w:rPr>
        <w:t>yourself</w:t>
      </w:r>
      <w:proofErr w:type="gramEnd"/>
      <w:r>
        <w:rPr>
          <w:rFonts w:ascii="Calibri" w:hAnsi="Calibri" w:cs="Calibri"/>
          <w:sz w:val="20"/>
          <w:szCs w:val="20"/>
          <w:lang w:val="en-GB"/>
        </w:rPr>
        <w:t xml:space="preserve"> from any such discussions or activities and leave any meeting in which they continue.</w:t>
      </w:r>
    </w:p>
    <w:p w:rsidR="007D68D5" w:rsidRPr="00692553" w:rsidRDefault="007D68D5" w:rsidP="00BB5323"/>
    <w:sectPr w:rsidR="007D68D5" w:rsidRPr="00692553" w:rsidSect="00D8181B">
      <w:type w:val="continuous"/>
      <w:pgSz w:w="12240" w:h="15840" w:code="1"/>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nsid w:val="0796304A"/>
    <w:multiLevelType w:val="hybridMultilevel"/>
    <w:tmpl w:val="8146C9A0"/>
    <w:lvl w:ilvl="0" w:tplc="080C0017">
      <w:start w:val="1"/>
      <w:numFmt w:val="lowerLetter"/>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1">
    <w:nsid w:val="44DC770C"/>
    <w:multiLevelType w:val="hybridMultilevel"/>
    <w:tmpl w:val="A4BA1D34"/>
    <w:lvl w:ilvl="0" w:tplc="080C000F">
      <w:start w:val="1"/>
      <w:numFmt w:val="decimal"/>
      <w:lvlText w:val="%1."/>
      <w:lvlJc w:val="left"/>
      <w:pPr>
        <w:ind w:left="720" w:hanging="72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2">
    <w:nsid w:val="4F1B070C"/>
    <w:multiLevelType w:val="hybridMultilevel"/>
    <w:tmpl w:val="103E8FB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2"/>
  </w:compat>
  <w:rsids>
    <w:rsidRoot w:val="00FF0446"/>
    <w:rsid w:val="000145A5"/>
    <w:rsid w:val="00043514"/>
    <w:rsid w:val="0017171E"/>
    <w:rsid w:val="001D4932"/>
    <w:rsid w:val="00204A31"/>
    <w:rsid w:val="002138F0"/>
    <w:rsid w:val="00344FA0"/>
    <w:rsid w:val="00417272"/>
    <w:rsid w:val="00423E89"/>
    <w:rsid w:val="00456620"/>
    <w:rsid w:val="00495E0E"/>
    <w:rsid w:val="005052C5"/>
    <w:rsid w:val="00516918"/>
    <w:rsid w:val="00531002"/>
    <w:rsid w:val="00545CF0"/>
    <w:rsid w:val="00564127"/>
    <w:rsid w:val="00594AF1"/>
    <w:rsid w:val="005F58B2"/>
    <w:rsid w:val="00692553"/>
    <w:rsid w:val="007554A1"/>
    <w:rsid w:val="007676EF"/>
    <w:rsid w:val="00796990"/>
    <w:rsid w:val="007C174F"/>
    <w:rsid w:val="007D68D5"/>
    <w:rsid w:val="0085168B"/>
    <w:rsid w:val="008526A2"/>
    <w:rsid w:val="008925F6"/>
    <w:rsid w:val="008B2336"/>
    <w:rsid w:val="008B7895"/>
    <w:rsid w:val="008E151F"/>
    <w:rsid w:val="008F49C0"/>
    <w:rsid w:val="00954110"/>
    <w:rsid w:val="00987202"/>
    <w:rsid w:val="00AA2235"/>
    <w:rsid w:val="00AE3851"/>
    <w:rsid w:val="00B34F92"/>
    <w:rsid w:val="00B437DD"/>
    <w:rsid w:val="00B84015"/>
    <w:rsid w:val="00BB2928"/>
    <w:rsid w:val="00BB5323"/>
    <w:rsid w:val="00BF65DF"/>
    <w:rsid w:val="00C166AB"/>
    <w:rsid w:val="00CB3760"/>
    <w:rsid w:val="00CE6342"/>
    <w:rsid w:val="00D621F4"/>
    <w:rsid w:val="00D8181B"/>
    <w:rsid w:val="00E15DF3"/>
    <w:rsid w:val="00E2585D"/>
    <w:rsid w:val="00E43BAB"/>
    <w:rsid w:val="00E4591C"/>
    <w:rsid w:val="00E60E43"/>
    <w:rsid w:val="00E71DBA"/>
    <w:rsid w:val="00E94DDD"/>
    <w:rsid w:val="00EA2581"/>
    <w:rsid w:val="00FE23C0"/>
    <w:rsid w:val="00FF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594AF1"/>
    <w:pPr>
      <w:ind w:left="720"/>
      <w:contextualSpacing/>
    </w:pPr>
  </w:style>
  <w:style w:type="paragraph" w:customStyle="1" w:styleId="Default">
    <w:name w:val="Default"/>
    <w:basedOn w:val="Normal"/>
    <w:rsid w:val="007D68D5"/>
    <w:pPr>
      <w:autoSpaceDE w:val="0"/>
      <w:autoSpaceDN w:val="0"/>
      <w:ind w:left="0"/>
    </w:pPr>
    <w:rPr>
      <w:rFonts w:ascii="Bookman Old Style" w:eastAsiaTheme="minorHAnsi" w:hAnsi="Bookman Old Style"/>
      <w:color w:val="000000"/>
      <w:spacing w:val="0"/>
      <w:sz w:val="24"/>
      <w:szCs w:val="24"/>
    </w:rPr>
  </w:style>
  <w:style w:type="paragraph" w:customStyle="1" w:styleId="CM21">
    <w:name w:val="CM21"/>
    <w:basedOn w:val="Normal"/>
    <w:uiPriority w:val="99"/>
    <w:rsid w:val="007D68D5"/>
    <w:pPr>
      <w:autoSpaceDE w:val="0"/>
      <w:autoSpaceDN w:val="0"/>
      <w:ind w:left="0"/>
    </w:pPr>
    <w:rPr>
      <w:rFonts w:ascii="Bookman Old Style" w:eastAsiaTheme="minorHAnsi" w:hAnsi="Bookman Old Style"/>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313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3215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89611\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BBBE6616F84492AF78A8CED8D6778C"/>
        <w:category>
          <w:name w:val="General"/>
          <w:gallery w:val="placeholder"/>
        </w:category>
        <w:types>
          <w:type w:val="bbPlcHdr"/>
        </w:types>
        <w:behaviors>
          <w:behavior w:val="content"/>
        </w:behaviors>
        <w:guid w:val="{FEA8DB8E-5251-4597-9B2A-A0584CA9DD94}"/>
      </w:docPartPr>
      <w:docPartBody>
        <w:p w:rsidR="004F6078" w:rsidRDefault="00DA0B28">
          <w:pPr>
            <w:pStyle w:val="8BBBBE6616F84492AF78A8CED8D6778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0B28"/>
    <w:rsid w:val="00373BDE"/>
    <w:rsid w:val="004748E8"/>
    <w:rsid w:val="004F6078"/>
    <w:rsid w:val="00645CBD"/>
    <w:rsid w:val="00DA0B28"/>
    <w:rsid w:val="00E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8E8"/>
    <w:rPr>
      <w:color w:val="808080"/>
    </w:rPr>
  </w:style>
  <w:style w:type="paragraph" w:customStyle="1" w:styleId="8E07867030F240C1AD0D3D5753DE6AE1">
    <w:name w:val="8E07867030F240C1AD0D3D5753DE6AE1"/>
    <w:rsid w:val="004748E8"/>
  </w:style>
  <w:style w:type="paragraph" w:customStyle="1" w:styleId="8BBBBE6616F84492AF78A8CED8D6778C">
    <w:name w:val="8BBBBE6616F84492AF78A8CED8D6778C"/>
    <w:rsid w:val="004748E8"/>
  </w:style>
  <w:style w:type="paragraph" w:customStyle="1" w:styleId="AA9D6B2EAB1A44E68BFCEA6588BAFF1D">
    <w:name w:val="AA9D6B2EAB1A44E68BFCEA6588BAFF1D"/>
    <w:rsid w:val="004748E8"/>
  </w:style>
  <w:style w:type="paragraph" w:customStyle="1" w:styleId="02F1501A839C4746B3CDE8D4CDEA8A89">
    <w:name w:val="02F1501A839C4746B3CDE8D4CDEA8A89"/>
    <w:rsid w:val="004748E8"/>
  </w:style>
  <w:style w:type="paragraph" w:customStyle="1" w:styleId="9D381A5240EA45B7AC50CE7CD8B18F4B">
    <w:name w:val="9D381A5240EA45B7AC50CE7CD8B18F4B"/>
    <w:rsid w:val="004748E8"/>
  </w:style>
  <w:style w:type="paragraph" w:customStyle="1" w:styleId="2E1F4DEDFD664521861B4EE101EBE42B">
    <w:name w:val="2E1F4DEDFD664521861B4EE101EBE42B"/>
    <w:rsid w:val="004748E8"/>
  </w:style>
  <w:style w:type="paragraph" w:customStyle="1" w:styleId="5936116DE8FB4000878B6387B604EF96">
    <w:name w:val="5936116DE8FB4000878B6387B604EF96"/>
    <w:rsid w:val="004748E8"/>
  </w:style>
  <w:style w:type="paragraph" w:customStyle="1" w:styleId="445635D7FA904AE3A204EE060BD07463">
    <w:name w:val="445635D7FA904AE3A204EE060BD07463"/>
    <w:rsid w:val="004748E8"/>
  </w:style>
  <w:style w:type="paragraph" w:customStyle="1" w:styleId="1231966DD16E4DD59700D0F2F103879D">
    <w:name w:val="1231966DD16E4DD59700D0F2F103879D"/>
    <w:rsid w:val="004748E8"/>
  </w:style>
  <w:style w:type="paragraph" w:customStyle="1" w:styleId="D11630A5F3D44178B7C45647A96807E1">
    <w:name w:val="D11630A5F3D44178B7C45647A96807E1"/>
    <w:rsid w:val="004748E8"/>
  </w:style>
  <w:style w:type="paragraph" w:customStyle="1" w:styleId="D85157B10B824B18B43C3634477FD108">
    <w:name w:val="D85157B10B824B18B43C3634477FD108"/>
    <w:rsid w:val="004748E8"/>
  </w:style>
  <w:style w:type="paragraph" w:customStyle="1" w:styleId="366B1BED29324AD2A2AF0015DC74C726">
    <w:name w:val="366B1BED29324AD2A2AF0015DC74C726"/>
    <w:rsid w:val="004748E8"/>
  </w:style>
  <w:style w:type="paragraph" w:customStyle="1" w:styleId="19104CA7154F42D7B4A2CCC03A54D7DF">
    <w:name w:val="19104CA7154F42D7B4A2CCC03A54D7DF"/>
    <w:rsid w:val="004748E8"/>
  </w:style>
  <w:style w:type="paragraph" w:customStyle="1" w:styleId="AE796FF70EA448C0958467E6514C0047">
    <w:name w:val="AE796FF70EA448C0958467E6514C0047"/>
    <w:rsid w:val="004748E8"/>
  </w:style>
  <w:style w:type="paragraph" w:customStyle="1" w:styleId="B45ADDF31F5246838B7FA0168E5E9529">
    <w:name w:val="B45ADDF31F5246838B7FA0168E5E9529"/>
    <w:rsid w:val="004748E8"/>
  </w:style>
  <w:style w:type="paragraph" w:customStyle="1" w:styleId="0CA18501B8CB4E1394327FDFFF5E1D16">
    <w:name w:val="0CA18501B8CB4E1394327FDFFF5E1D16"/>
    <w:rsid w:val="004748E8"/>
  </w:style>
  <w:style w:type="paragraph" w:customStyle="1" w:styleId="952BA369F73C4401952C2E403540B04B">
    <w:name w:val="952BA369F73C4401952C2E403540B04B"/>
    <w:rsid w:val="004748E8"/>
  </w:style>
  <w:style w:type="paragraph" w:customStyle="1" w:styleId="55F4633BE55D48C29B070C65C890EAB4">
    <w:name w:val="55F4633BE55D48C29B070C65C890EAB4"/>
    <w:rsid w:val="004748E8"/>
  </w:style>
  <w:style w:type="paragraph" w:customStyle="1" w:styleId="0FE17A0AAD02456D9F804763CF8F8C38">
    <w:name w:val="0FE17A0AAD02456D9F804763CF8F8C38"/>
    <w:rsid w:val="004748E8"/>
  </w:style>
  <w:style w:type="paragraph" w:customStyle="1" w:styleId="DD193A5BF219492B9DB11136C686834A">
    <w:name w:val="DD193A5BF219492B9DB11136C686834A"/>
    <w:rsid w:val="004748E8"/>
  </w:style>
  <w:style w:type="paragraph" w:customStyle="1" w:styleId="09DBB23765AF486FBF95D221E2A5C47D">
    <w:name w:val="09DBB23765AF486FBF95D221E2A5C47D"/>
    <w:rsid w:val="004748E8"/>
  </w:style>
  <w:style w:type="paragraph" w:customStyle="1" w:styleId="35688A29C8444F449FBEEAA69F734374">
    <w:name w:val="35688A29C8444F449FBEEAA69F734374"/>
    <w:rsid w:val="004748E8"/>
  </w:style>
  <w:style w:type="paragraph" w:customStyle="1" w:styleId="E5D9FFCE296E4F41B422B50FA76E5D63">
    <w:name w:val="E5D9FFCE296E4F41B422B50FA76E5D63"/>
    <w:rsid w:val="004748E8"/>
  </w:style>
  <w:style w:type="paragraph" w:customStyle="1" w:styleId="3661CFB43122472C982D8D6AC04484DC">
    <w:name w:val="3661CFB43122472C982D8D6AC04484DC"/>
    <w:rsid w:val="004748E8"/>
  </w:style>
  <w:style w:type="paragraph" w:customStyle="1" w:styleId="FA3AC6188E3649AA96F435375B38B8CB">
    <w:name w:val="FA3AC6188E3649AA96F435375B38B8CB"/>
    <w:rsid w:val="004748E8"/>
  </w:style>
  <w:style w:type="paragraph" w:customStyle="1" w:styleId="69CF4A4C4CA949B7BC472706C14D9298">
    <w:name w:val="69CF4A4C4CA949B7BC472706C14D9298"/>
    <w:rsid w:val="004748E8"/>
  </w:style>
  <w:style w:type="paragraph" w:customStyle="1" w:styleId="F48EFCD08CC84599A629D190979AB5CF">
    <w:name w:val="F48EFCD08CC84599A629D190979AB5CF"/>
    <w:rsid w:val="004748E8"/>
  </w:style>
  <w:style w:type="paragraph" w:customStyle="1" w:styleId="78FFBD90E9C74863BBE29CA5808BA487">
    <w:name w:val="78FFBD90E9C74863BBE29CA5808BA487"/>
    <w:rsid w:val="004748E8"/>
  </w:style>
  <w:style w:type="paragraph" w:customStyle="1" w:styleId="839530BFAAD64AC5A4D1818B9C83A978">
    <w:name w:val="839530BFAAD64AC5A4D1818B9C83A978"/>
    <w:rsid w:val="004748E8"/>
  </w:style>
  <w:style w:type="paragraph" w:customStyle="1" w:styleId="BA7B659483C84DD5B269727B50DCB26D">
    <w:name w:val="BA7B659483C84DD5B269727B50DCB26D"/>
    <w:rsid w:val="004748E8"/>
  </w:style>
  <w:style w:type="paragraph" w:customStyle="1" w:styleId="C2428D41B632443B86AC3F3D916AC712">
    <w:name w:val="C2428D41B632443B86AC3F3D916AC712"/>
    <w:rsid w:val="00474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MS_Mints.dotx</Template>
  <TotalTime>4</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Meeting minutes</vt:lpstr>
    </vt:vector>
  </TitlesOfParts>
  <Company>The Dow Chemical Company</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u089611</dc:creator>
  <cp:lastModifiedBy>u089611</cp:lastModifiedBy>
  <cp:revision>2</cp:revision>
  <cp:lastPrinted>2016-04-21T13:00:00Z</cp:lastPrinted>
  <dcterms:created xsi:type="dcterms:W3CDTF">2016-04-22T11:52:00Z</dcterms:created>
  <dcterms:modified xsi:type="dcterms:W3CDTF">2016-04-22T11:52:00Z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_Steward">
    <vt:lpwstr>u089611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2016-04-15T15:28:00Z</vt:filetime>
  </property>
  <property fmtid="{D5CDD505-2E9C-101B-9397-08002B2CF9AE}" pid="9" name="Retention_Period_Start_Date">
    <vt:filetime>2016-04-22T11:51:26Z</vt:filetime>
  </property>
  <property fmtid="{D5CDD505-2E9C-101B-9397-08002B2CF9AE}" pid="10" name="Last_Reviewed_Date">
    <vt:lpwstr/>
  </property>
  <property fmtid="{D5CDD505-2E9C-101B-9397-08002B2CF9AE}" pid="11" name="Retention_Review_Frequency">
    <vt:lpwstr/>
  </property>
  <property fmtid="{D5CDD505-2E9C-101B-9397-08002B2CF9AE}" pid="12" name="_NewReviewCycle">
    <vt:lpwstr/>
  </property>
</Properties>
</file>